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400D5" w14:textId="3F979862" w:rsidR="00801CF6" w:rsidRPr="00C10F85" w:rsidRDefault="00801CF6" w:rsidP="00801CF6">
      <w:pPr>
        <w:pStyle w:val="Header"/>
        <w:keepLines/>
        <w:tabs>
          <w:tab w:val="left" w:pos="5956"/>
          <w:tab w:val="right" w:pos="10440"/>
          <w:tab w:val="right" w:pos="13323"/>
        </w:tabs>
        <w:spacing w:before="60" w:after="60"/>
        <w:rPr>
          <w:rFonts w:cs="Arial"/>
          <w:b w:val="0"/>
          <w:sz w:val="24"/>
          <w:szCs w:val="24"/>
          <w:lang w:val="en-US" w:eastAsia="zh-CN"/>
        </w:rPr>
      </w:pPr>
      <w:bookmarkStart w:id="0" w:name="Title"/>
      <w:bookmarkStart w:id="1" w:name="DocumentFor"/>
      <w:bookmarkEnd w:id="0"/>
      <w:bookmarkEnd w:id="1"/>
      <w:r w:rsidRPr="00C10F85">
        <w:rPr>
          <w:rFonts w:cs="Arial"/>
          <w:sz w:val="24"/>
          <w:szCs w:val="24"/>
          <w:lang w:val="en-US"/>
        </w:rPr>
        <w:t>3GPP TSG-RAN WG4 Meeting #107</w:t>
      </w:r>
      <w:r w:rsidRPr="00C10F85">
        <w:rPr>
          <w:rFonts w:cs="Arial"/>
          <w:sz w:val="24"/>
          <w:szCs w:val="24"/>
          <w:lang w:val="en-US"/>
        </w:rPr>
        <w:tab/>
      </w:r>
      <w:r w:rsidRPr="00C10F85">
        <w:rPr>
          <w:rFonts w:cs="Arial"/>
          <w:sz w:val="24"/>
          <w:szCs w:val="24"/>
          <w:lang w:val="en-US"/>
        </w:rPr>
        <w:tab/>
      </w:r>
      <w:bookmarkStart w:id="2" w:name="_GoBack"/>
      <w:r w:rsidRPr="00C10F85">
        <w:rPr>
          <w:rFonts w:cs="Arial"/>
          <w:sz w:val="24"/>
          <w:szCs w:val="24"/>
          <w:lang w:val="en-US"/>
        </w:rPr>
        <w:t>R4-230</w:t>
      </w:r>
      <w:r w:rsidR="001E030C" w:rsidRPr="001E030C">
        <w:rPr>
          <w:rFonts w:cs="Arial"/>
          <w:sz w:val="24"/>
          <w:szCs w:val="24"/>
          <w:lang w:val="en-US"/>
        </w:rPr>
        <w:t>8416</w:t>
      </w:r>
      <w:bookmarkEnd w:id="2"/>
    </w:p>
    <w:p w14:paraId="37D0E06B" w14:textId="77777777" w:rsidR="00801CF6" w:rsidRPr="00C10F85" w:rsidRDefault="00801CF6" w:rsidP="00801CF6">
      <w:pPr>
        <w:pStyle w:val="Header"/>
        <w:tabs>
          <w:tab w:val="right" w:pos="9781"/>
          <w:tab w:val="right" w:pos="13323"/>
        </w:tabs>
        <w:outlineLvl w:val="0"/>
        <w:rPr>
          <w:rFonts w:cs="Arial"/>
          <w:b w:val="0"/>
          <w:sz w:val="24"/>
          <w:szCs w:val="24"/>
          <w:lang w:val="en-US"/>
        </w:rPr>
      </w:pPr>
      <w:r w:rsidRPr="00C10F85">
        <w:rPr>
          <w:rFonts w:cs="Arial"/>
          <w:sz w:val="24"/>
          <w:szCs w:val="24"/>
          <w:lang w:val="en-US" w:eastAsia="zh-CN"/>
        </w:rPr>
        <w:t>Incheon, KR, May 22 – May 26, 2023</w:t>
      </w:r>
    </w:p>
    <w:p w14:paraId="5F66381C" w14:textId="77777777" w:rsidR="008A1C3C" w:rsidRPr="00C10F85" w:rsidRDefault="008A1C3C" w:rsidP="008A1C3C">
      <w:pPr>
        <w:spacing w:after="120"/>
        <w:ind w:left="1985" w:hanging="1985"/>
        <w:rPr>
          <w:rFonts w:ascii="Arial" w:eastAsia="MS Mincho" w:hAnsi="Arial" w:cs="Arial"/>
          <w:b/>
          <w:sz w:val="22"/>
          <w:lang w:val="en-US"/>
        </w:rPr>
      </w:pPr>
    </w:p>
    <w:p w14:paraId="6F8381AE" w14:textId="075A1749" w:rsidR="008A1C3C" w:rsidRPr="00C10F85" w:rsidRDefault="008A1C3C" w:rsidP="008A1C3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10F85">
        <w:rPr>
          <w:rFonts w:ascii="Arial" w:eastAsia="MS Mincho" w:hAnsi="Arial" w:cs="Arial"/>
          <w:b/>
          <w:color w:val="000000"/>
          <w:sz w:val="22"/>
          <w:lang w:val="en-US"/>
        </w:rPr>
        <w:t>Agenda item:</w:t>
      </w:r>
      <w:r w:rsidRPr="00C10F85">
        <w:rPr>
          <w:rFonts w:ascii="Arial" w:eastAsia="MS Mincho" w:hAnsi="Arial" w:cs="Arial"/>
          <w:b/>
          <w:color w:val="000000"/>
          <w:sz w:val="22"/>
          <w:lang w:val="en-US"/>
        </w:rPr>
        <w:tab/>
      </w:r>
      <w:r w:rsidRPr="00C10F85">
        <w:rPr>
          <w:rFonts w:ascii="Arial" w:eastAsia="MS Mincho" w:hAnsi="Arial" w:cs="Arial"/>
          <w:b/>
          <w:color w:val="000000"/>
          <w:sz w:val="22"/>
          <w:lang w:val="en-US" w:eastAsia="ja-JP"/>
        </w:rPr>
        <w:tab/>
      </w:r>
      <w:r w:rsidRPr="00C10F85">
        <w:rPr>
          <w:rFonts w:ascii="Arial" w:eastAsia="MS Mincho" w:hAnsi="Arial" w:cs="Arial"/>
          <w:b/>
          <w:color w:val="000000"/>
          <w:sz w:val="22"/>
          <w:lang w:val="en-US" w:eastAsia="ja-JP"/>
        </w:rPr>
        <w:tab/>
      </w:r>
      <w:r w:rsidR="006A4AB9" w:rsidRPr="00C10F85">
        <w:rPr>
          <w:rFonts w:ascii="Arial" w:eastAsiaTheme="minorEastAsia" w:hAnsi="Arial" w:cs="Arial"/>
          <w:color w:val="000000"/>
          <w:sz w:val="22"/>
          <w:lang w:val="en-US" w:eastAsia="zh-CN"/>
        </w:rPr>
        <w:t xml:space="preserve">8.31.2.4 Co-channel coexistence for LTE </w:t>
      </w:r>
      <w:proofErr w:type="spellStart"/>
      <w:r w:rsidR="006A4AB9" w:rsidRPr="00C10F85">
        <w:rPr>
          <w:rFonts w:ascii="Arial" w:eastAsiaTheme="minorEastAsia" w:hAnsi="Arial" w:cs="Arial"/>
          <w:color w:val="000000"/>
          <w:sz w:val="22"/>
          <w:lang w:val="en-US" w:eastAsia="zh-CN"/>
        </w:rPr>
        <w:t>sidelink</w:t>
      </w:r>
      <w:proofErr w:type="spellEnd"/>
      <w:r w:rsidR="006A4AB9" w:rsidRPr="00C10F85">
        <w:rPr>
          <w:rFonts w:ascii="Arial" w:eastAsiaTheme="minorEastAsia" w:hAnsi="Arial" w:cs="Arial"/>
          <w:color w:val="000000"/>
          <w:sz w:val="22"/>
          <w:lang w:val="en-US" w:eastAsia="zh-CN"/>
        </w:rPr>
        <w:t xml:space="preserve"> and NR </w:t>
      </w:r>
      <w:proofErr w:type="spellStart"/>
      <w:r w:rsidR="006A4AB9" w:rsidRPr="00C10F85">
        <w:rPr>
          <w:rFonts w:ascii="Arial" w:eastAsiaTheme="minorEastAsia" w:hAnsi="Arial" w:cs="Arial"/>
          <w:color w:val="000000"/>
          <w:sz w:val="22"/>
          <w:lang w:val="en-US" w:eastAsia="zh-CN"/>
        </w:rPr>
        <w:t>sidelink</w:t>
      </w:r>
      <w:proofErr w:type="spellEnd"/>
    </w:p>
    <w:p w14:paraId="2312E58D" w14:textId="77777777" w:rsidR="008A1C3C" w:rsidRPr="00C10F85" w:rsidRDefault="008A1C3C" w:rsidP="008A1C3C">
      <w:pPr>
        <w:spacing w:after="120"/>
        <w:ind w:left="1985" w:hanging="1985"/>
        <w:rPr>
          <w:rFonts w:ascii="Arial" w:hAnsi="Arial" w:cs="Arial"/>
          <w:color w:val="000000"/>
          <w:sz w:val="22"/>
          <w:lang w:val="en-US" w:eastAsia="zh-CN"/>
        </w:rPr>
      </w:pPr>
      <w:r w:rsidRPr="00C10F85">
        <w:rPr>
          <w:rFonts w:ascii="Arial" w:eastAsia="MS Mincho" w:hAnsi="Arial" w:cs="Arial"/>
          <w:b/>
          <w:sz w:val="22"/>
          <w:lang w:val="en-US"/>
        </w:rPr>
        <w:t>Source:</w:t>
      </w:r>
      <w:r w:rsidRPr="00C10F85">
        <w:rPr>
          <w:rFonts w:ascii="Arial" w:eastAsia="MS Mincho" w:hAnsi="Arial" w:cs="Arial"/>
          <w:b/>
          <w:sz w:val="22"/>
          <w:lang w:val="en-US"/>
        </w:rPr>
        <w:tab/>
      </w:r>
      <w:r w:rsidRPr="00C10F85">
        <w:rPr>
          <w:rFonts w:ascii="Arial" w:hAnsi="Arial" w:cs="Arial"/>
          <w:color w:val="000000"/>
          <w:sz w:val="22"/>
          <w:lang w:val="en-US" w:eastAsia="zh-CN"/>
        </w:rPr>
        <w:t>LG Electronics</w:t>
      </w:r>
    </w:p>
    <w:p w14:paraId="26FD1715" w14:textId="6358CE57" w:rsidR="008A1C3C" w:rsidRPr="00C10F85" w:rsidRDefault="008A1C3C" w:rsidP="008A1C3C">
      <w:pPr>
        <w:spacing w:after="120"/>
        <w:ind w:left="1985" w:hanging="1985"/>
        <w:rPr>
          <w:rFonts w:ascii="Arial" w:eastAsiaTheme="minorEastAsia" w:hAnsi="Arial" w:cs="Arial"/>
          <w:color w:val="000000"/>
          <w:sz w:val="22"/>
          <w:lang w:val="en-US" w:eastAsia="zh-CN"/>
        </w:rPr>
      </w:pPr>
      <w:r w:rsidRPr="00C10F85">
        <w:rPr>
          <w:rFonts w:ascii="Arial" w:eastAsia="MS Mincho" w:hAnsi="Arial" w:cs="Arial"/>
          <w:b/>
          <w:color w:val="000000"/>
          <w:sz w:val="22"/>
          <w:lang w:val="en-US"/>
        </w:rPr>
        <w:t>Title:</w:t>
      </w:r>
      <w:r w:rsidRPr="00C10F85">
        <w:rPr>
          <w:rFonts w:ascii="Arial" w:eastAsia="MS Mincho" w:hAnsi="Arial" w:cs="Arial"/>
          <w:b/>
          <w:color w:val="000000"/>
          <w:sz w:val="22"/>
          <w:lang w:val="en-US"/>
        </w:rPr>
        <w:tab/>
      </w:r>
      <w:r w:rsidR="00801CF6" w:rsidRPr="00C10F85">
        <w:rPr>
          <w:rFonts w:ascii="Arial" w:eastAsia="MS Mincho" w:hAnsi="Arial" w:cs="Arial"/>
          <w:color w:val="000000"/>
          <w:sz w:val="22"/>
          <w:lang w:val="en-US"/>
        </w:rPr>
        <w:t xml:space="preserve">On </w:t>
      </w:r>
      <w:r w:rsidR="00801CF6" w:rsidRPr="00C10F85">
        <w:rPr>
          <w:rFonts w:ascii="Arial" w:eastAsiaTheme="minorEastAsia" w:hAnsi="Arial" w:cs="Arial"/>
          <w:color w:val="000000"/>
          <w:sz w:val="22"/>
          <w:lang w:val="en-US" w:eastAsia="zh-CN"/>
        </w:rPr>
        <w:t>Co-channel coexistence for LTE SL and NR SL</w:t>
      </w:r>
    </w:p>
    <w:p w14:paraId="566B57B2" w14:textId="77777777" w:rsidR="008A1C3C" w:rsidRPr="00C10F85" w:rsidRDefault="008A1C3C" w:rsidP="008A1C3C">
      <w:pPr>
        <w:spacing w:after="120"/>
        <w:ind w:left="1985" w:hanging="1985"/>
        <w:rPr>
          <w:rFonts w:ascii="Arial" w:eastAsiaTheme="minorEastAsia" w:hAnsi="Arial" w:cs="Arial"/>
          <w:color w:val="000000"/>
          <w:sz w:val="22"/>
          <w:lang w:val="en-US" w:eastAsia="zh-CN"/>
        </w:rPr>
      </w:pPr>
      <w:r w:rsidRPr="00C10F85">
        <w:rPr>
          <w:rFonts w:ascii="Arial" w:eastAsia="MS Mincho" w:hAnsi="Arial" w:cs="Arial"/>
          <w:b/>
          <w:color w:val="000000"/>
          <w:sz w:val="22"/>
          <w:lang w:val="en-US"/>
        </w:rPr>
        <w:t>Document for:</w:t>
      </w:r>
      <w:r w:rsidRPr="00C10F85">
        <w:rPr>
          <w:rFonts w:ascii="Arial" w:eastAsia="MS Mincho" w:hAnsi="Arial" w:cs="Arial"/>
          <w:b/>
          <w:color w:val="000000"/>
          <w:sz w:val="22"/>
          <w:lang w:val="en-US"/>
        </w:rPr>
        <w:tab/>
      </w:r>
      <w:r w:rsidRPr="00C10F85">
        <w:rPr>
          <w:rFonts w:ascii="Arial" w:eastAsia="MS Mincho" w:hAnsi="Arial" w:cs="Arial"/>
          <w:color w:val="000000"/>
          <w:sz w:val="22"/>
          <w:lang w:val="en-US"/>
        </w:rPr>
        <w:t xml:space="preserve">Discussion and </w:t>
      </w:r>
      <w:r w:rsidRPr="00C10F85">
        <w:rPr>
          <w:rFonts w:ascii="Arial" w:eastAsiaTheme="minorEastAsia" w:hAnsi="Arial" w:cs="Arial"/>
          <w:color w:val="000000"/>
          <w:sz w:val="22"/>
          <w:lang w:val="en-US" w:eastAsia="zh-CN"/>
        </w:rPr>
        <w:t>Approval</w:t>
      </w:r>
    </w:p>
    <w:p w14:paraId="6F10240C" w14:textId="77777777" w:rsidR="008A1C3C" w:rsidRPr="00C10F85" w:rsidRDefault="008A1C3C" w:rsidP="008A1C3C">
      <w:pPr>
        <w:pStyle w:val="Heading1"/>
        <w:rPr>
          <w:rFonts w:eastAsiaTheme="minorEastAsia"/>
          <w:lang w:val="en-US" w:eastAsia="zh-CN"/>
        </w:rPr>
      </w:pPr>
      <w:r w:rsidRPr="00C10F85">
        <w:rPr>
          <w:lang w:val="en-US" w:eastAsia="ja-JP"/>
        </w:rPr>
        <w:t>Introduction</w:t>
      </w:r>
    </w:p>
    <w:p w14:paraId="605BB144" w14:textId="02A86807" w:rsidR="0092026C" w:rsidRDefault="00193A5E" w:rsidP="00926D7B">
      <w:pPr>
        <w:rPr>
          <w:lang w:val="en-US" w:eastAsia="zh-CN"/>
        </w:rPr>
      </w:pPr>
      <w:r w:rsidRPr="00193A5E">
        <w:rPr>
          <w:lang w:val="en-US" w:eastAsia="zh-CN"/>
        </w:rPr>
        <w:t>WF on NR SL con-current operation and co-channel coexistence scenario of LTE V2X and NR V2X</w:t>
      </w:r>
      <w:r>
        <w:rPr>
          <w:lang w:val="en-US" w:eastAsia="zh-CN"/>
        </w:rPr>
        <w:t xml:space="preserve"> [1] discusses open items linked with </w:t>
      </w:r>
      <w:r w:rsidRPr="00193A5E">
        <w:rPr>
          <w:lang w:val="en-US" w:eastAsia="zh-CN"/>
        </w:rPr>
        <w:t>co-channel coexistence of LTE V2X and NR V2X</w:t>
      </w:r>
      <w:r>
        <w:rPr>
          <w:lang w:val="en-US" w:eastAsia="zh-CN"/>
        </w:rPr>
        <w:t>.</w:t>
      </w:r>
      <w:r w:rsidR="005B7962">
        <w:rPr>
          <w:lang w:val="en-US" w:eastAsia="zh-CN"/>
        </w:rPr>
        <w:t xml:space="preserve"> </w:t>
      </w:r>
      <w:r w:rsidR="005B7962" w:rsidRPr="005B7962">
        <w:rPr>
          <w:lang w:val="en-US" w:eastAsia="zh-CN"/>
        </w:rPr>
        <w:t>RAN1</w:t>
      </w:r>
      <w:r w:rsidR="005B7962" w:rsidRPr="005B7962">
        <w:rPr>
          <w:bCs/>
          <w:lang w:val="en-US"/>
        </w:rPr>
        <w:t>#112bis-e</w:t>
      </w:r>
      <w:r w:rsidR="005B7962">
        <w:rPr>
          <w:lang w:val="en-US" w:eastAsia="zh-CN"/>
        </w:rPr>
        <w:t xml:space="preserve"> meeting reached an agreement as captured in section 2.1 below.</w:t>
      </w:r>
    </w:p>
    <w:p w14:paraId="11AB98A8" w14:textId="27BD5318" w:rsidR="005B7962" w:rsidRPr="00C10F85" w:rsidRDefault="005B7962" w:rsidP="00926D7B">
      <w:pPr>
        <w:rPr>
          <w:lang w:val="en-US"/>
        </w:rPr>
      </w:pPr>
      <w:r>
        <w:rPr>
          <w:lang w:val="en-US"/>
        </w:rPr>
        <w:t>This document further discusses these items and makes proposals on how to move forward.</w:t>
      </w:r>
    </w:p>
    <w:p w14:paraId="1B06F490" w14:textId="77777777" w:rsidR="00801CF6" w:rsidRPr="00C10F85" w:rsidRDefault="00801CF6" w:rsidP="00801CF6">
      <w:pPr>
        <w:pStyle w:val="Heading1"/>
        <w:rPr>
          <w:lang w:val="en-US" w:eastAsia="zh-CN"/>
        </w:rPr>
      </w:pPr>
      <w:r w:rsidRPr="00C10F85">
        <w:rPr>
          <w:lang w:val="en-US" w:eastAsia="zh-CN"/>
        </w:rPr>
        <w:t>Discussion</w:t>
      </w:r>
    </w:p>
    <w:p w14:paraId="294164AD" w14:textId="77777777" w:rsidR="005545E3" w:rsidRPr="00C10F85" w:rsidRDefault="005545E3" w:rsidP="005C06C6">
      <w:pPr>
        <w:spacing w:after="120"/>
        <w:rPr>
          <w:color w:val="000000" w:themeColor="text1"/>
          <w:szCs w:val="24"/>
          <w:lang w:val="en-US" w:eastAsia="zh-CN"/>
        </w:rPr>
      </w:pPr>
    </w:p>
    <w:p w14:paraId="6048EDA4" w14:textId="293B546E" w:rsidR="00B17FD2" w:rsidRPr="00C10F85" w:rsidRDefault="00892504" w:rsidP="005C06C6">
      <w:pPr>
        <w:pStyle w:val="Heading2"/>
        <w:rPr>
          <w:lang w:val="en-US"/>
        </w:rPr>
      </w:pPr>
      <w:r w:rsidRPr="00C10F85">
        <w:rPr>
          <w:lang w:val="en-US"/>
        </w:rPr>
        <w:t xml:space="preserve">Transmitted </w:t>
      </w:r>
      <w:r w:rsidR="00B17FD2" w:rsidRPr="00C10F85">
        <w:rPr>
          <w:lang w:val="en-US"/>
        </w:rPr>
        <w:t>power</w:t>
      </w:r>
      <w:r w:rsidRPr="00C10F85">
        <w:rPr>
          <w:lang w:val="en-US"/>
        </w:rPr>
        <w:t xml:space="preserve"> requirements</w:t>
      </w:r>
      <w:r w:rsidR="00B17FD2" w:rsidRPr="00C10F85">
        <w:rPr>
          <w:lang w:val="en-US"/>
        </w:rPr>
        <w:t xml:space="preserve"> for NR SL</w:t>
      </w:r>
      <w:r w:rsidR="00BB6C27" w:rsidRPr="00C10F85">
        <w:rPr>
          <w:lang w:val="en-US"/>
        </w:rPr>
        <w:t xml:space="preserve"> co-channel coexistence with LTE SL</w:t>
      </w:r>
    </w:p>
    <w:p w14:paraId="52823455" w14:textId="77777777" w:rsidR="00801CF6" w:rsidRPr="00C10F85" w:rsidRDefault="00801CF6" w:rsidP="00C519D3">
      <w:pPr>
        <w:rPr>
          <w:color w:val="000000" w:themeColor="text1"/>
          <w:szCs w:val="24"/>
          <w:lang w:val="en-US" w:eastAsia="zh-CN"/>
        </w:rPr>
      </w:pPr>
    </w:p>
    <w:p w14:paraId="3148CC9B" w14:textId="77777777" w:rsidR="00801CF6" w:rsidRPr="00C10F85" w:rsidRDefault="00801CF6" w:rsidP="00801CF6">
      <w:pPr>
        <w:rPr>
          <w:lang w:val="en-US"/>
        </w:rPr>
      </w:pPr>
      <w:r w:rsidRPr="00C10F85">
        <w:rPr>
          <w:lang w:val="en-US"/>
        </w:rPr>
        <w:t>RAN1 agreed as follows.</w:t>
      </w:r>
    </w:p>
    <w:tbl>
      <w:tblPr>
        <w:tblStyle w:val="TableGrid"/>
        <w:tblW w:w="0" w:type="auto"/>
        <w:tblLook w:val="04A0" w:firstRow="1" w:lastRow="0" w:firstColumn="1" w:lastColumn="0" w:noHBand="0" w:noVBand="1"/>
      </w:tblPr>
      <w:tblGrid>
        <w:gridCol w:w="9631"/>
      </w:tblGrid>
      <w:tr w:rsidR="00801CF6" w:rsidRPr="00C10F85" w14:paraId="2CA8E667" w14:textId="77777777" w:rsidTr="00AD4E58">
        <w:tc>
          <w:tcPr>
            <w:tcW w:w="10456" w:type="dxa"/>
          </w:tcPr>
          <w:p w14:paraId="50DE1CAA" w14:textId="77777777" w:rsidR="00801CF6" w:rsidRPr="00C10F85" w:rsidRDefault="00801CF6" w:rsidP="00AD4E58">
            <w:pPr>
              <w:jc w:val="both"/>
              <w:rPr>
                <w:lang w:val="en-US" w:eastAsia="zh-CN"/>
              </w:rPr>
            </w:pPr>
            <w:r w:rsidRPr="00C10F85">
              <w:rPr>
                <w:b/>
                <w:bCs/>
                <w:highlight w:val="green"/>
                <w:lang w:val="en-US"/>
              </w:rPr>
              <w:t>Agreement</w:t>
            </w:r>
            <w:r w:rsidRPr="00C10F85">
              <w:rPr>
                <w:b/>
                <w:bCs/>
                <w:lang w:val="en-US"/>
              </w:rPr>
              <w:t xml:space="preserve"> (RAN1#112bis-e)</w:t>
            </w:r>
          </w:p>
          <w:p w14:paraId="73FE9519" w14:textId="77777777" w:rsidR="00801CF6" w:rsidRPr="00C10F85" w:rsidRDefault="00801CF6" w:rsidP="00AD4E58">
            <w:pPr>
              <w:jc w:val="both"/>
              <w:rPr>
                <w:bCs/>
                <w:lang w:val="en-US" w:eastAsia="zh-CN"/>
              </w:rPr>
            </w:pPr>
            <w:r w:rsidRPr="00C10F85">
              <w:rPr>
                <w:bCs/>
                <w:lang w:val="en-US" w:eastAsia="zh-CN"/>
              </w:rPr>
              <w:t xml:space="preserve">For NR </w:t>
            </w:r>
            <w:r w:rsidRPr="00C10F85">
              <w:rPr>
                <w:bCs/>
                <w:lang w:val="en-US" w:eastAsia="ko-KR"/>
              </w:rPr>
              <w:t>SL</w:t>
            </w:r>
            <w:r w:rsidRPr="00C10F85">
              <w:rPr>
                <w:bCs/>
                <w:lang w:val="en-US"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C10F85">
              <w:rPr>
                <w:bCs/>
                <w:lang w:val="en-US" w:eastAsia="ko-KR"/>
              </w:rPr>
              <w:t>.</w:t>
            </w:r>
          </w:p>
          <w:p w14:paraId="08AADD24" w14:textId="77777777" w:rsidR="00801CF6" w:rsidRPr="00C10F85" w:rsidRDefault="00801CF6" w:rsidP="00801CF6">
            <w:pPr>
              <w:numPr>
                <w:ilvl w:val="0"/>
                <w:numId w:val="44"/>
              </w:numPr>
              <w:autoSpaceDE/>
              <w:autoSpaceDN/>
              <w:spacing w:after="0"/>
              <w:jc w:val="both"/>
              <w:rPr>
                <w:bCs/>
                <w:lang w:val="en-US" w:eastAsia="zh-CN"/>
              </w:rPr>
            </w:pPr>
            <w:r w:rsidRPr="00C10F85">
              <w:rPr>
                <w:bCs/>
                <w:lang w:val="en-US" w:eastAsia="zh-CN"/>
              </w:rPr>
              <w:t>Note: How to ensure the above condition is up to UE implementation</w:t>
            </w:r>
          </w:p>
          <w:p w14:paraId="1DF267B3" w14:textId="77777777" w:rsidR="00801CF6" w:rsidRPr="00C10F85" w:rsidRDefault="00801CF6" w:rsidP="00801CF6">
            <w:pPr>
              <w:numPr>
                <w:ilvl w:val="0"/>
                <w:numId w:val="44"/>
              </w:numPr>
              <w:autoSpaceDE/>
              <w:autoSpaceDN/>
              <w:spacing w:after="0"/>
              <w:jc w:val="both"/>
              <w:rPr>
                <w:bCs/>
                <w:lang w:val="en-US" w:eastAsia="zh-CN"/>
              </w:rPr>
            </w:pPr>
            <w:r w:rsidRPr="00C10F85">
              <w:rPr>
                <w:bCs/>
                <w:lang w:val="en-US" w:eastAsia="zh-CN"/>
              </w:rPr>
              <w:t>FFS on whether same or different frequency allocation may be used in the second overlapping slot</w:t>
            </w:r>
          </w:p>
          <w:p w14:paraId="77810BA6" w14:textId="77777777" w:rsidR="00801CF6" w:rsidRPr="00C10F85" w:rsidRDefault="00801CF6" w:rsidP="00AD4E58">
            <w:pPr>
              <w:rPr>
                <w:lang w:val="en-US"/>
              </w:rPr>
            </w:pPr>
          </w:p>
        </w:tc>
      </w:tr>
    </w:tbl>
    <w:p w14:paraId="669BC413" w14:textId="77777777" w:rsidR="00801CF6" w:rsidRPr="00C10F85" w:rsidRDefault="00801CF6" w:rsidP="00801CF6">
      <w:pPr>
        <w:rPr>
          <w:lang w:val="en-US"/>
        </w:rPr>
      </w:pPr>
    </w:p>
    <w:p w14:paraId="7A09093D" w14:textId="77777777" w:rsidR="00801CF6" w:rsidRPr="00C10F85" w:rsidRDefault="00801CF6" w:rsidP="00801CF6">
      <w:pPr>
        <w:rPr>
          <w:lang w:val="en-US" w:eastAsia="zh-CN"/>
        </w:rPr>
      </w:pPr>
      <w:r w:rsidRPr="00C10F85">
        <w:rPr>
          <w:lang w:val="en-US" w:eastAsia="zh-CN"/>
        </w:rPr>
        <w:t>The following cases can be considered.</w:t>
      </w:r>
    </w:p>
    <w:p w14:paraId="47B4744D" w14:textId="77777777" w:rsidR="00801CF6" w:rsidRPr="00C10F85" w:rsidRDefault="00801CF6" w:rsidP="00801CF6">
      <w:pPr>
        <w:pStyle w:val="ListParagraph"/>
        <w:numPr>
          <w:ilvl w:val="0"/>
          <w:numId w:val="45"/>
        </w:numPr>
        <w:overflowPunct/>
        <w:autoSpaceDE/>
        <w:autoSpaceDN/>
        <w:adjustRightInd/>
        <w:spacing w:after="0"/>
        <w:ind w:firstLineChars="0"/>
        <w:textAlignment w:val="auto"/>
        <w:rPr>
          <w:rFonts w:eastAsia="SimSun"/>
          <w:lang w:val="en-US" w:eastAsia="zh-CN"/>
        </w:rPr>
      </w:pPr>
      <w:r w:rsidRPr="00C10F85">
        <w:rPr>
          <w:rFonts w:eastAsia="SimSun"/>
          <w:lang w:val="en-US" w:eastAsia="zh-CN"/>
        </w:rPr>
        <w:t>Case 1: LTE SL (15kHz SCS) + NR SL (15kHz SCS)</w:t>
      </w:r>
    </w:p>
    <w:p w14:paraId="70DE93A6" w14:textId="77777777" w:rsidR="00801CF6" w:rsidRPr="00C10F85" w:rsidRDefault="00801CF6" w:rsidP="00801CF6">
      <w:pPr>
        <w:pStyle w:val="ListParagraph"/>
        <w:numPr>
          <w:ilvl w:val="0"/>
          <w:numId w:val="45"/>
        </w:numPr>
        <w:overflowPunct/>
        <w:autoSpaceDE/>
        <w:autoSpaceDN/>
        <w:adjustRightInd/>
        <w:spacing w:after="0"/>
        <w:ind w:firstLineChars="0"/>
        <w:textAlignment w:val="auto"/>
        <w:rPr>
          <w:rFonts w:eastAsia="SimSun"/>
          <w:lang w:val="en-US" w:eastAsia="zh-CN"/>
        </w:rPr>
      </w:pPr>
      <w:r w:rsidRPr="00C10F85">
        <w:rPr>
          <w:rFonts w:eastAsia="SimSun"/>
          <w:lang w:val="en-US" w:eastAsia="zh-CN"/>
        </w:rPr>
        <w:t>Case 2: LTE SL (15kHz SCS) + NR SL (30kHz SCS)</w:t>
      </w:r>
    </w:p>
    <w:p w14:paraId="749033ED" w14:textId="26C9F68A" w:rsidR="00801CF6" w:rsidRPr="00C10F85" w:rsidRDefault="00801CF6" w:rsidP="00C519D3">
      <w:pPr>
        <w:rPr>
          <w:color w:val="000000" w:themeColor="text1"/>
          <w:szCs w:val="24"/>
          <w:lang w:val="en-US" w:eastAsia="zh-CN"/>
        </w:rPr>
      </w:pPr>
    </w:p>
    <w:p w14:paraId="08578247" w14:textId="77777777" w:rsidR="00801CF6" w:rsidRPr="00C10F85" w:rsidRDefault="00801CF6" w:rsidP="00801CF6">
      <w:pPr>
        <w:rPr>
          <w:lang w:val="en-US"/>
        </w:rPr>
      </w:pPr>
      <w:r w:rsidRPr="00C10F85">
        <w:rPr>
          <w:lang w:val="en-US"/>
        </w:rPr>
        <w:t>Figure 3.1 and Figure 3.2 show the impact on LTE SL and NR SL due to each AGC from co-channel operation with Case1 and Case 2, respectively.</w:t>
      </w:r>
    </w:p>
    <w:p w14:paraId="202D9B76" w14:textId="77777777" w:rsidR="00801CF6" w:rsidRPr="00C10F85" w:rsidRDefault="00801CF6" w:rsidP="00801CF6">
      <w:pPr>
        <w:rPr>
          <w:lang w:val="en-US"/>
        </w:rPr>
      </w:pPr>
    </w:p>
    <w:p w14:paraId="10B1C427" w14:textId="77777777" w:rsidR="00801CF6" w:rsidRPr="00C10F85" w:rsidRDefault="00801CF6" w:rsidP="00801CF6">
      <w:pPr>
        <w:rPr>
          <w:lang w:val="en-US"/>
        </w:rPr>
      </w:pPr>
      <w:r w:rsidRPr="00C10F85">
        <w:rPr>
          <w:lang w:val="en-US"/>
        </w:rPr>
        <w:object w:dxaOrig="19156" w:dyaOrig="8176" w14:anchorId="09A5D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pt;height:222.9pt" o:ole="">
            <v:imagedata r:id="rId9" o:title=""/>
          </v:shape>
          <o:OLEObject Type="Embed" ProgID="Visio.Drawing.15" ShapeID="_x0000_i1025" DrawAspect="Content" ObjectID="_1745663643" r:id="rId10"/>
        </w:object>
      </w:r>
    </w:p>
    <w:p w14:paraId="0EBECE2F" w14:textId="77777777" w:rsidR="00801CF6" w:rsidRPr="00C10F85" w:rsidRDefault="00801CF6" w:rsidP="00801CF6">
      <w:pPr>
        <w:pStyle w:val="TH"/>
        <w:rPr>
          <w:lang w:val="en-US" w:eastAsia="zh-CN"/>
        </w:rPr>
      </w:pPr>
      <w:r w:rsidRPr="00C10F85">
        <w:rPr>
          <w:lang w:val="en-US" w:eastAsia="zh-CN"/>
        </w:rPr>
        <w:t>Figure 3.1: AGC impact of co-channel operation with LTE SL + NR SL (Case1)</w:t>
      </w:r>
    </w:p>
    <w:p w14:paraId="48F89586" w14:textId="77777777" w:rsidR="00801CF6" w:rsidRPr="00C10F85" w:rsidRDefault="00801CF6" w:rsidP="00801CF6">
      <w:pPr>
        <w:pStyle w:val="TH"/>
        <w:rPr>
          <w:lang w:val="en-US" w:eastAsia="zh-CN"/>
        </w:rPr>
      </w:pPr>
    </w:p>
    <w:p w14:paraId="038D1538" w14:textId="7B3F1029" w:rsidR="00801CF6" w:rsidRPr="00C10F85" w:rsidRDefault="00BB6C27" w:rsidP="00801CF6">
      <w:pPr>
        <w:rPr>
          <w:lang w:val="en-US"/>
        </w:rPr>
      </w:pPr>
      <w:r w:rsidRPr="00C10F85">
        <w:rPr>
          <w:lang w:val="en-US"/>
        </w:rPr>
        <w:object w:dxaOrig="24975" w:dyaOrig="21001" w14:anchorId="2C51655F">
          <v:shape id="_x0000_i1026" type="#_x0000_t75" style="width:482.1pt;height:405.5pt" o:ole="">
            <v:imagedata r:id="rId11" o:title=""/>
          </v:shape>
          <o:OLEObject Type="Embed" ProgID="Visio.Drawing.15" ShapeID="_x0000_i1026" DrawAspect="Content" ObjectID="_1745663644" r:id="rId12"/>
        </w:object>
      </w:r>
    </w:p>
    <w:p w14:paraId="5673A929" w14:textId="77777777" w:rsidR="00801CF6" w:rsidRPr="00C10F85" w:rsidRDefault="00801CF6" w:rsidP="00801CF6">
      <w:pPr>
        <w:pStyle w:val="TH"/>
        <w:rPr>
          <w:lang w:val="en-US" w:eastAsia="zh-CN"/>
        </w:rPr>
      </w:pPr>
      <w:r w:rsidRPr="00C10F85">
        <w:rPr>
          <w:lang w:val="en-US" w:eastAsia="zh-CN"/>
        </w:rPr>
        <w:lastRenderedPageBreak/>
        <w:t>Figure 3.2: AGC impact of co-channel operation with LTE SL + NR SL (Case2)</w:t>
      </w:r>
    </w:p>
    <w:p w14:paraId="2E2D5CFE" w14:textId="77777777" w:rsidR="00801CF6" w:rsidRPr="00B266CC" w:rsidRDefault="00801CF6" w:rsidP="00801CF6">
      <w:pPr>
        <w:rPr>
          <w:lang w:val="en-US"/>
        </w:rPr>
      </w:pPr>
      <w:r w:rsidRPr="00B266CC">
        <w:rPr>
          <w:lang w:val="en-US"/>
        </w:rPr>
        <w:t>From the figures, the followings are observed.</w:t>
      </w:r>
    </w:p>
    <w:p w14:paraId="1D55409C" w14:textId="77777777" w:rsidR="00801CF6" w:rsidRPr="00B266CC" w:rsidRDefault="00801CF6" w:rsidP="00801CF6">
      <w:pPr>
        <w:pStyle w:val="BodyText"/>
        <w:rPr>
          <w:rFonts w:eastAsiaTheme="minorEastAsia"/>
          <w:noProof/>
          <w:lang w:val="en-US" w:eastAsia="ko-KR"/>
        </w:rPr>
      </w:pPr>
      <w:r w:rsidRPr="00B266CC">
        <w:rPr>
          <w:b/>
          <w:lang w:val="en-US" w:eastAsia="ko-KR"/>
        </w:rPr>
        <w:t>Observation 1</w:t>
      </w:r>
      <w:r w:rsidRPr="00B266CC">
        <w:rPr>
          <w:rFonts w:eastAsiaTheme="minorEastAsia"/>
          <w:noProof/>
          <w:lang w:val="en-US" w:eastAsia="ko-KR"/>
        </w:rPr>
        <w:t>: For both NR SL SCS of 15kHz and NR SL SCS of 30kHz, there is no impact to NR SL due to co-channel operation with LTE SL. (Figure 3.1, Figure 3.2(A), 3.2(B), 3.2(C), 3.2(D)</w:t>
      </w:r>
    </w:p>
    <w:p w14:paraId="6A9C6D52" w14:textId="77777777" w:rsidR="00801CF6" w:rsidRPr="00B266CC" w:rsidRDefault="00801CF6" w:rsidP="00801CF6">
      <w:pPr>
        <w:pStyle w:val="BodyText"/>
        <w:rPr>
          <w:rFonts w:eastAsiaTheme="minorEastAsia"/>
          <w:noProof/>
          <w:lang w:val="en-US" w:eastAsia="ko-KR"/>
        </w:rPr>
      </w:pPr>
      <w:r w:rsidRPr="00B266CC">
        <w:rPr>
          <w:b/>
          <w:lang w:val="en-US" w:eastAsia="ko-KR"/>
        </w:rPr>
        <w:t>Observation 2</w:t>
      </w:r>
      <w:r w:rsidRPr="00B266CC">
        <w:rPr>
          <w:rFonts w:eastAsiaTheme="minorEastAsia"/>
          <w:noProof/>
          <w:lang w:val="en-US" w:eastAsia="ko-KR"/>
        </w:rPr>
        <w:t>: For NR SL SCS of 15kHz, there is no impact to LTE SL due to co-channel operation with NR SL. (Figure 3.1)</w:t>
      </w:r>
    </w:p>
    <w:p w14:paraId="0E1ADC07" w14:textId="77777777" w:rsidR="00801CF6" w:rsidRPr="00B266CC" w:rsidRDefault="00801CF6" w:rsidP="00801CF6">
      <w:pPr>
        <w:pStyle w:val="BodyText"/>
        <w:rPr>
          <w:rFonts w:eastAsiaTheme="minorEastAsia"/>
          <w:noProof/>
          <w:lang w:val="en-US" w:eastAsia="ko-KR"/>
        </w:rPr>
      </w:pPr>
      <w:r w:rsidRPr="00B266CC">
        <w:rPr>
          <w:b/>
          <w:lang w:val="en-US" w:eastAsia="ko-KR"/>
        </w:rPr>
        <w:t>Observation 3</w:t>
      </w:r>
      <w:r w:rsidRPr="00B266CC">
        <w:rPr>
          <w:rFonts w:eastAsiaTheme="minorEastAsia"/>
          <w:noProof/>
          <w:lang w:val="en-US" w:eastAsia="ko-KR"/>
        </w:rPr>
        <w:t>: For NR SL SCS of 30kHz, there is no impact to LTE SL due to co-channel operation with NR SL when the NR SL transmitted power in the first slot of NR SL slots overlapping with an LTE SL subframe is larger than or equal to the NR SL transmitted power in the subsequent NR SL slot overlapping with the LTE SL subframe. (Figure 3.2(C),3.2(D)</w:t>
      </w:r>
    </w:p>
    <w:p w14:paraId="3777A7F9" w14:textId="77777777" w:rsidR="00801CF6" w:rsidRPr="00C10F85" w:rsidRDefault="00801CF6" w:rsidP="00801CF6">
      <w:pPr>
        <w:pStyle w:val="BodyText"/>
        <w:rPr>
          <w:rFonts w:eastAsiaTheme="minorEastAsia"/>
          <w:noProof/>
          <w:lang w:val="en-US" w:eastAsia="ko-KR"/>
        </w:rPr>
      </w:pPr>
      <w:r w:rsidRPr="00B266CC">
        <w:rPr>
          <w:b/>
          <w:lang w:val="en-US" w:eastAsia="ko-KR"/>
        </w:rPr>
        <w:t>Observation 4</w:t>
      </w:r>
      <w:r w:rsidRPr="00B266CC">
        <w:rPr>
          <w:rFonts w:eastAsiaTheme="minorEastAsia"/>
          <w:noProof/>
          <w:lang w:val="en-US" w:eastAsia="ko-KR"/>
        </w:rPr>
        <w:t>: For NR SL SCS of 30kHz, there is impact to LTE SL due to co-channel operation with NR SL when the NR SL transmitted power in the first slot of NR SL slots overlapping with an LTE SL subframe is less than the NR SL transmitted power in the subsequent NR SL slot overlapping with the LTE SL subframe. (Figure 3.2(A),3.2(B)</w:t>
      </w:r>
    </w:p>
    <w:p w14:paraId="0473D47A" w14:textId="72BE259C" w:rsidR="00801CF6" w:rsidRPr="00C10F85" w:rsidRDefault="00801CF6" w:rsidP="00801CF6">
      <w:pPr>
        <w:pStyle w:val="BodyText"/>
        <w:rPr>
          <w:rFonts w:eastAsiaTheme="minorEastAsia"/>
          <w:noProof/>
          <w:lang w:val="en-US" w:eastAsia="ko-KR"/>
        </w:rPr>
      </w:pPr>
      <w:r w:rsidRPr="00C10F85">
        <w:rPr>
          <w:rFonts w:eastAsiaTheme="minorEastAsia"/>
          <w:noProof/>
          <w:lang w:val="en-US" w:eastAsia="ko-KR"/>
        </w:rPr>
        <w:t>Regarding the RAN1 agreement, the configurations of Figure3.2(A) and Figure3.2(B) should be excluded</w:t>
      </w:r>
      <w:r w:rsidR="00D9148D" w:rsidRPr="00C10F85">
        <w:rPr>
          <w:rFonts w:eastAsiaTheme="minorEastAsia"/>
          <w:noProof/>
          <w:lang w:val="en-US" w:eastAsia="ko-KR"/>
        </w:rPr>
        <w:t>, which means that RAN4 should analyze if additional functionality or requirements are needed to ensure that NR SL UEs follow the behavior as shown in Figure 3.2 C and/or 3.2D</w:t>
      </w:r>
      <w:r w:rsidRPr="00C10F85">
        <w:rPr>
          <w:rFonts w:eastAsiaTheme="minorEastAsia"/>
          <w:noProof/>
          <w:lang w:val="en-US" w:eastAsia="ko-KR"/>
        </w:rPr>
        <w:t>.</w:t>
      </w:r>
      <w:r w:rsidR="00D9148D" w:rsidRPr="00C10F85">
        <w:rPr>
          <w:rFonts w:eastAsiaTheme="minorEastAsia"/>
          <w:noProof/>
          <w:lang w:val="en-US" w:eastAsia="ko-KR"/>
        </w:rPr>
        <w:t xml:space="preserve"> Is there a need for NR SL / LTE SL co-channel co-existence requirement </w:t>
      </w:r>
      <w:r w:rsidR="00A5392F" w:rsidRPr="00C10F85">
        <w:rPr>
          <w:rFonts w:eastAsiaTheme="minorEastAsia"/>
          <w:noProof/>
          <w:lang w:val="en-US" w:eastAsia="ko-KR"/>
        </w:rPr>
        <w:t xml:space="preserve">for 30kHz SCS NR SL UE </w:t>
      </w:r>
      <w:r w:rsidR="00D9148D" w:rsidRPr="00C10F85">
        <w:rPr>
          <w:rFonts w:eastAsiaTheme="minorEastAsia"/>
          <w:noProof/>
          <w:lang w:val="en-US" w:eastAsia="ko-KR"/>
        </w:rPr>
        <w:t xml:space="preserve">that </w:t>
      </w:r>
      <w:r w:rsidR="00A5392F" w:rsidRPr="00C10F85">
        <w:rPr>
          <w:rFonts w:eastAsiaTheme="minorEastAsia"/>
          <w:noProof/>
          <w:lang w:val="en-US" w:eastAsia="ko-KR"/>
        </w:rPr>
        <w:t>ensured that power of the 2nd slot is never higher than the power of the 1st slot (relative requirement)?</w:t>
      </w:r>
    </w:p>
    <w:p w14:paraId="044DC4B1" w14:textId="671F8964" w:rsidR="00801CF6" w:rsidRPr="00C10F85" w:rsidRDefault="00801CF6" w:rsidP="00A5392F">
      <w:pPr>
        <w:pStyle w:val="BodyText"/>
        <w:rPr>
          <w:rFonts w:eastAsiaTheme="minorEastAsia"/>
          <w:noProof/>
          <w:lang w:val="en-US" w:eastAsia="ko-KR"/>
        </w:rPr>
      </w:pPr>
      <w:r w:rsidRPr="00B266CC">
        <w:rPr>
          <w:b/>
          <w:lang w:val="en-US" w:eastAsia="ko-KR"/>
        </w:rPr>
        <w:t>Proposal 1</w:t>
      </w:r>
      <w:r w:rsidRPr="00B266CC">
        <w:rPr>
          <w:rFonts w:eastAsiaTheme="minorEastAsia"/>
          <w:noProof/>
          <w:lang w:val="en-US" w:eastAsia="ko-KR"/>
        </w:rPr>
        <w:t xml:space="preserve">: </w:t>
      </w:r>
      <w:r w:rsidR="00A5392F" w:rsidRPr="00B266CC">
        <w:rPr>
          <w:rFonts w:eastAsiaTheme="minorEastAsia"/>
          <w:noProof/>
          <w:lang w:val="en-US" w:eastAsia="ko-KR"/>
        </w:rPr>
        <w:t>RAN4 should analyze if additional functionality or requirements are needed to ensure that NR SL UEs follow the behavior as shown in Figure 3.2 C and/or 3.2D. Is there a need for NR SL / LTE SL co-channel co-existence requirement for 30kHz SCS NR SL UE that ensure</w:t>
      </w:r>
      <w:r w:rsidR="006A4AB9" w:rsidRPr="00B266CC">
        <w:rPr>
          <w:rFonts w:eastAsiaTheme="minorEastAsia"/>
          <w:noProof/>
          <w:lang w:val="en-US" w:eastAsia="ko-KR"/>
        </w:rPr>
        <w:t>s</w:t>
      </w:r>
      <w:r w:rsidR="00A5392F" w:rsidRPr="00B266CC">
        <w:rPr>
          <w:rFonts w:eastAsiaTheme="minorEastAsia"/>
          <w:noProof/>
          <w:lang w:val="en-US" w:eastAsia="ko-KR"/>
        </w:rPr>
        <w:t xml:space="preserve"> that power of the 2nd slot is never higher than the power of the 1st</w:t>
      </w:r>
      <w:r w:rsidR="00A5392F" w:rsidRPr="00C10F85">
        <w:rPr>
          <w:rFonts w:eastAsiaTheme="minorEastAsia"/>
          <w:noProof/>
          <w:lang w:val="en-US" w:eastAsia="ko-KR"/>
        </w:rPr>
        <w:t xml:space="preserve"> slot (relative requirement)?</w:t>
      </w:r>
    </w:p>
    <w:p w14:paraId="7462AD81" w14:textId="5BD84833" w:rsidR="00A5392F" w:rsidRPr="00C10F85" w:rsidRDefault="00A5392F" w:rsidP="00A5392F">
      <w:pPr>
        <w:pStyle w:val="BodyText"/>
        <w:rPr>
          <w:rFonts w:eastAsiaTheme="minorEastAsia"/>
          <w:noProof/>
          <w:lang w:val="en-US" w:eastAsia="ko-KR"/>
        </w:rPr>
      </w:pPr>
      <w:r w:rsidRPr="00C10F85">
        <w:rPr>
          <w:rFonts w:eastAsiaTheme="minorEastAsia"/>
          <w:noProof/>
          <w:lang w:val="en-US" w:eastAsia="ko-KR"/>
        </w:rPr>
        <w:t>In addition, RAN4 should analyze if this beahvior that ensures the co-channel coexistence can impact some other minimum performance requirements. One example here can be the P</w:t>
      </w:r>
      <w:r w:rsidRPr="00C10F85">
        <w:rPr>
          <w:rFonts w:eastAsiaTheme="minorEastAsia"/>
          <w:noProof/>
          <w:vertAlign w:val="subscript"/>
          <w:lang w:val="en-US" w:eastAsia="ko-KR"/>
        </w:rPr>
        <w:t>UMAX,f,c</w:t>
      </w:r>
      <w:r w:rsidRPr="00C10F85">
        <w:rPr>
          <w:rFonts w:eastAsiaTheme="minorEastAsia"/>
          <w:noProof/>
          <w:lang w:val="en-US" w:eastAsia="ko-KR"/>
        </w:rPr>
        <w:t>, which shall be within the bounds:</w:t>
      </w:r>
    </w:p>
    <w:p w14:paraId="5110869B" w14:textId="1356BEB9" w:rsidR="00A5392F" w:rsidRPr="00C10F85" w:rsidRDefault="00A5392F" w:rsidP="00A5392F">
      <w:pPr>
        <w:pStyle w:val="BodyText"/>
        <w:rPr>
          <w:rFonts w:eastAsiaTheme="minorEastAsia"/>
          <w:noProof/>
          <w:lang w:val="en-US" w:eastAsia="ko-KR"/>
        </w:rPr>
      </w:pPr>
      <w:r w:rsidRPr="00C10F85">
        <w:rPr>
          <w:rFonts w:eastAsiaTheme="minorEastAsia"/>
          <w:noProof/>
          <w:lang w:val="en-US" w:eastAsia="ko-KR"/>
        </w:rPr>
        <w:tab/>
        <w:t>P</w:t>
      </w:r>
      <w:r w:rsidRPr="00C10F85">
        <w:rPr>
          <w:rFonts w:eastAsiaTheme="minorEastAsia"/>
          <w:noProof/>
          <w:vertAlign w:val="subscript"/>
          <w:lang w:val="en-US" w:eastAsia="ko-KR"/>
        </w:rPr>
        <w:t>CMAX_L,f,c</w:t>
      </w:r>
      <w:r w:rsidRPr="00C10F85">
        <w:rPr>
          <w:rFonts w:eastAsiaTheme="minorEastAsia"/>
          <w:noProof/>
          <w:lang w:val="en-US" w:eastAsia="ko-KR"/>
        </w:rPr>
        <w:t xml:space="preserve">  –  MAX{T</w:t>
      </w:r>
      <w:r w:rsidRPr="00C10F85">
        <w:rPr>
          <w:rFonts w:eastAsiaTheme="minorEastAsia"/>
          <w:noProof/>
          <w:vertAlign w:val="subscript"/>
          <w:lang w:val="en-US" w:eastAsia="ko-KR"/>
        </w:rPr>
        <w:t>L,c</w:t>
      </w:r>
      <w:r w:rsidRPr="00C10F85">
        <w:rPr>
          <w:rFonts w:eastAsiaTheme="minorEastAsia"/>
          <w:noProof/>
          <w:lang w:val="en-US" w:eastAsia="ko-KR"/>
        </w:rPr>
        <w:t>, T(P</w:t>
      </w:r>
      <w:r w:rsidRPr="00C10F85">
        <w:rPr>
          <w:rFonts w:eastAsiaTheme="minorEastAsia"/>
          <w:noProof/>
          <w:vertAlign w:val="subscript"/>
          <w:lang w:val="en-US" w:eastAsia="ko-KR"/>
        </w:rPr>
        <w:t>CMAX_L,f,c</w:t>
      </w:r>
      <w:r w:rsidRPr="00C10F85">
        <w:rPr>
          <w:rFonts w:eastAsiaTheme="minorEastAsia"/>
          <w:noProof/>
          <w:lang w:val="en-US" w:eastAsia="ko-KR"/>
        </w:rPr>
        <w:t>)}  ≤  P</w:t>
      </w:r>
      <w:r w:rsidRPr="00C10F85">
        <w:rPr>
          <w:rFonts w:eastAsiaTheme="minorEastAsia"/>
          <w:noProof/>
          <w:vertAlign w:val="subscript"/>
          <w:lang w:val="en-US" w:eastAsia="ko-KR"/>
        </w:rPr>
        <w:t>UMAX,f,c</w:t>
      </w:r>
      <w:r w:rsidRPr="00C10F85">
        <w:rPr>
          <w:rFonts w:eastAsiaTheme="minorEastAsia"/>
          <w:noProof/>
          <w:lang w:val="en-US" w:eastAsia="ko-KR"/>
        </w:rPr>
        <w:t xml:space="preserve">  ≤  P</w:t>
      </w:r>
      <w:r w:rsidRPr="00C10F85">
        <w:rPr>
          <w:rFonts w:eastAsiaTheme="minorEastAsia"/>
          <w:noProof/>
          <w:vertAlign w:val="subscript"/>
          <w:lang w:val="en-US" w:eastAsia="ko-KR"/>
        </w:rPr>
        <w:t>CMAX_H,f,c</w:t>
      </w:r>
      <w:r w:rsidRPr="00C10F85">
        <w:rPr>
          <w:rFonts w:eastAsiaTheme="minorEastAsia"/>
          <w:noProof/>
          <w:lang w:val="en-US" w:eastAsia="ko-KR"/>
        </w:rPr>
        <w:t xml:space="preserve">  +  T(P</w:t>
      </w:r>
      <w:r w:rsidRPr="00C10F85">
        <w:rPr>
          <w:rFonts w:eastAsiaTheme="minorEastAsia"/>
          <w:noProof/>
          <w:vertAlign w:val="subscript"/>
          <w:lang w:val="en-US" w:eastAsia="ko-KR"/>
        </w:rPr>
        <w:t>CMAX_H,f,c</w:t>
      </w:r>
      <w:r w:rsidRPr="00C10F85">
        <w:rPr>
          <w:rFonts w:eastAsiaTheme="minorEastAsia"/>
          <w:noProof/>
          <w:lang w:val="en-US" w:eastAsia="ko-KR"/>
        </w:rPr>
        <w:t>)</w:t>
      </w:r>
    </w:p>
    <w:p w14:paraId="01DF6BCB" w14:textId="4C04D3C4" w:rsidR="00A5392F" w:rsidRPr="00C10F85" w:rsidRDefault="00A5392F" w:rsidP="00A5392F">
      <w:pPr>
        <w:pStyle w:val="BodyText"/>
        <w:rPr>
          <w:rFonts w:eastAsiaTheme="minorEastAsia"/>
          <w:noProof/>
          <w:lang w:val="en-US" w:eastAsia="ko-KR"/>
        </w:rPr>
      </w:pPr>
      <w:r w:rsidRPr="00C10F85">
        <w:rPr>
          <w:rFonts w:eastAsiaTheme="minorEastAsia"/>
          <w:noProof/>
          <w:lang w:val="en-US" w:eastAsia="ko-KR"/>
        </w:rPr>
        <w:t>as specified in 6.2.4 in table 6.2.4-1.</w:t>
      </w:r>
    </w:p>
    <w:p w14:paraId="703CDE8A" w14:textId="1211564A" w:rsidR="00A5392F" w:rsidRPr="00C10F85" w:rsidRDefault="00A5392F" w:rsidP="00A5392F">
      <w:pPr>
        <w:pStyle w:val="BodyText"/>
        <w:rPr>
          <w:rFonts w:eastAsiaTheme="minorEastAsia"/>
          <w:noProof/>
          <w:lang w:val="en-US" w:eastAsia="ko-KR"/>
        </w:rPr>
      </w:pPr>
      <w:r w:rsidRPr="00C10F85">
        <w:rPr>
          <w:rFonts w:eastAsiaTheme="minorEastAsia"/>
          <w:noProof/>
          <w:lang w:val="en-US" w:eastAsia="ko-KR"/>
        </w:rPr>
        <w:t xml:space="preserve">In case that clarification in </w:t>
      </w:r>
      <w:r w:rsidR="00892504" w:rsidRPr="00C10F85">
        <w:rPr>
          <w:rFonts w:eastAsiaTheme="minorEastAsia"/>
          <w:noProof/>
          <w:lang w:val="en-US" w:eastAsia="ko-KR"/>
        </w:rPr>
        <w:t>P</w:t>
      </w:r>
      <w:r w:rsidR="00892504" w:rsidRPr="00C10F85">
        <w:rPr>
          <w:rFonts w:eastAsiaTheme="minorEastAsia"/>
          <w:noProof/>
          <w:vertAlign w:val="subscript"/>
          <w:lang w:val="en-US" w:eastAsia="ko-KR"/>
        </w:rPr>
        <w:t>UMAX,f,c</w:t>
      </w:r>
      <w:r w:rsidR="00892504" w:rsidRPr="00C10F85">
        <w:rPr>
          <w:rFonts w:eastAsiaTheme="minorEastAsia"/>
          <w:noProof/>
          <w:lang w:val="en-US" w:eastAsia="ko-KR"/>
        </w:rPr>
        <w:t xml:space="preserve"> requirement</w:t>
      </w:r>
      <w:r w:rsidRPr="00C10F85">
        <w:rPr>
          <w:rFonts w:eastAsiaTheme="minorEastAsia"/>
          <w:noProof/>
          <w:lang w:val="en-US" w:eastAsia="ko-KR"/>
        </w:rPr>
        <w:t xml:space="preserve"> is deemed necessary </w:t>
      </w:r>
      <w:r w:rsidR="00892504" w:rsidRPr="00C10F85">
        <w:rPr>
          <w:rFonts w:eastAsiaTheme="minorEastAsia"/>
          <w:noProof/>
          <w:lang w:val="en-US" w:eastAsia="ko-KR"/>
        </w:rPr>
        <w:t>it could be clarified that P</w:t>
      </w:r>
      <w:r w:rsidR="00892504" w:rsidRPr="00C10F85">
        <w:rPr>
          <w:rFonts w:eastAsiaTheme="minorEastAsia"/>
          <w:noProof/>
          <w:vertAlign w:val="subscript"/>
          <w:lang w:val="en-US" w:eastAsia="ko-KR"/>
        </w:rPr>
        <w:t>UMAX,f,c</w:t>
      </w:r>
      <w:r w:rsidR="00892504" w:rsidRPr="00C10F85">
        <w:rPr>
          <w:rFonts w:eastAsiaTheme="minorEastAsia"/>
          <w:noProof/>
          <w:lang w:val="en-US" w:eastAsia="ko-KR"/>
        </w:rPr>
        <w:t xml:space="preserve"> tolerances are incr</w:t>
      </w:r>
      <w:r w:rsidR="00A95A4E" w:rsidRPr="00C10F85">
        <w:rPr>
          <w:rFonts w:eastAsiaTheme="minorEastAsia"/>
          <w:noProof/>
          <w:lang w:val="en-US" w:eastAsia="ko-KR"/>
        </w:rPr>
        <w:t>e</w:t>
      </w:r>
      <w:r w:rsidR="00892504" w:rsidRPr="00C10F85">
        <w:rPr>
          <w:rFonts w:eastAsiaTheme="minorEastAsia"/>
          <w:noProof/>
          <w:lang w:val="en-US" w:eastAsia="ko-KR"/>
        </w:rPr>
        <w:t>ased in case of co-channel coexistence or that P</w:t>
      </w:r>
      <w:r w:rsidR="00892504" w:rsidRPr="00C10F85">
        <w:rPr>
          <w:rFonts w:eastAsiaTheme="minorEastAsia"/>
          <w:noProof/>
          <w:vertAlign w:val="subscript"/>
          <w:lang w:val="en-US" w:eastAsia="ko-KR"/>
        </w:rPr>
        <w:t>UMAX.f.c</w:t>
      </w:r>
      <w:r w:rsidR="00892504" w:rsidRPr="00C10F85">
        <w:rPr>
          <w:rFonts w:eastAsiaTheme="minorEastAsia"/>
          <w:noProof/>
          <w:lang w:val="en-US" w:eastAsia="ko-KR"/>
        </w:rPr>
        <w:t xml:space="preserve"> needs to be measured usin</w:t>
      </w:r>
      <w:r w:rsidR="006A4AB9" w:rsidRPr="00C10F85">
        <w:rPr>
          <w:rFonts w:eastAsiaTheme="minorEastAsia"/>
          <w:noProof/>
          <w:lang w:val="en-US" w:eastAsia="ko-KR"/>
        </w:rPr>
        <w:t>g</w:t>
      </w:r>
      <w:r w:rsidR="00892504" w:rsidRPr="00C10F85">
        <w:rPr>
          <w:rFonts w:eastAsiaTheme="minorEastAsia"/>
          <w:noProof/>
          <w:lang w:val="en-US" w:eastAsia="ko-KR"/>
        </w:rPr>
        <w:t xml:space="preserve"> the 1</w:t>
      </w:r>
      <w:r w:rsidR="00892504" w:rsidRPr="00C10F85">
        <w:rPr>
          <w:rFonts w:eastAsiaTheme="minorEastAsia"/>
          <w:noProof/>
          <w:vertAlign w:val="superscript"/>
          <w:lang w:val="en-US" w:eastAsia="ko-KR"/>
        </w:rPr>
        <w:t>st</w:t>
      </w:r>
      <w:r w:rsidR="00892504" w:rsidRPr="00C10F85">
        <w:rPr>
          <w:rFonts w:eastAsiaTheme="minorEastAsia"/>
          <w:noProof/>
          <w:lang w:val="en-US" w:eastAsia="ko-KR"/>
        </w:rPr>
        <w:t xml:space="preserve"> slot only.</w:t>
      </w:r>
    </w:p>
    <w:p w14:paraId="1DA6BAD6" w14:textId="08B7D83E" w:rsidR="00892504" w:rsidRPr="00C10F85" w:rsidRDefault="00801CF6" w:rsidP="00892504">
      <w:pPr>
        <w:pStyle w:val="BodyText"/>
        <w:rPr>
          <w:rFonts w:eastAsiaTheme="minorEastAsia"/>
          <w:noProof/>
          <w:lang w:val="en-US" w:eastAsia="ko-KR"/>
        </w:rPr>
      </w:pPr>
      <w:r w:rsidRPr="00B266CC">
        <w:rPr>
          <w:b/>
          <w:lang w:val="en-US" w:eastAsia="ko-KR"/>
        </w:rPr>
        <w:t>Proposal 2</w:t>
      </w:r>
      <w:r w:rsidRPr="00B266CC">
        <w:rPr>
          <w:rFonts w:eastAsiaTheme="minorEastAsia"/>
          <w:noProof/>
          <w:lang w:val="en-US" w:eastAsia="ko-KR"/>
        </w:rPr>
        <w:t xml:space="preserve">: </w:t>
      </w:r>
      <w:r w:rsidR="00892504" w:rsidRPr="00B266CC">
        <w:rPr>
          <w:rFonts w:eastAsiaTheme="minorEastAsia"/>
          <w:noProof/>
          <w:lang w:val="en-US" w:eastAsia="ko-KR"/>
        </w:rPr>
        <w:t>In case that clarification in P</w:t>
      </w:r>
      <w:r w:rsidR="00892504" w:rsidRPr="00B266CC">
        <w:rPr>
          <w:rFonts w:eastAsiaTheme="minorEastAsia"/>
          <w:noProof/>
          <w:vertAlign w:val="subscript"/>
          <w:lang w:val="en-US" w:eastAsia="ko-KR"/>
        </w:rPr>
        <w:t>UMAX,f,c</w:t>
      </w:r>
      <w:r w:rsidR="00892504" w:rsidRPr="00B266CC">
        <w:rPr>
          <w:rFonts w:eastAsiaTheme="minorEastAsia"/>
          <w:noProof/>
          <w:lang w:val="en-US" w:eastAsia="ko-KR"/>
        </w:rPr>
        <w:t xml:space="preserve"> requirement is deemed necessary it could be clarified that P</w:t>
      </w:r>
      <w:r w:rsidR="00892504" w:rsidRPr="00B266CC">
        <w:rPr>
          <w:rFonts w:eastAsiaTheme="minorEastAsia"/>
          <w:noProof/>
          <w:vertAlign w:val="subscript"/>
          <w:lang w:val="en-US" w:eastAsia="ko-KR"/>
        </w:rPr>
        <w:t>UMAX,f,c</w:t>
      </w:r>
      <w:r w:rsidR="00892504" w:rsidRPr="00B266CC">
        <w:rPr>
          <w:rFonts w:eastAsiaTheme="minorEastAsia"/>
          <w:noProof/>
          <w:lang w:val="en-US" w:eastAsia="ko-KR"/>
        </w:rPr>
        <w:t xml:space="preserve"> tolerances are incr</w:t>
      </w:r>
      <w:r w:rsidR="00A95A4E" w:rsidRPr="00B266CC">
        <w:rPr>
          <w:rFonts w:eastAsiaTheme="minorEastAsia"/>
          <w:noProof/>
          <w:lang w:val="en-US" w:eastAsia="ko-KR"/>
        </w:rPr>
        <w:t>e</w:t>
      </w:r>
      <w:r w:rsidR="00892504" w:rsidRPr="00B266CC">
        <w:rPr>
          <w:rFonts w:eastAsiaTheme="minorEastAsia"/>
          <w:noProof/>
          <w:lang w:val="en-US" w:eastAsia="ko-KR"/>
        </w:rPr>
        <w:t>ased in case of co-channel coexistence or that P</w:t>
      </w:r>
      <w:r w:rsidR="00892504" w:rsidRPr="00B266CC">
        <w:rPr>
          <w:rFonts w:eastAsiaTheme="minorEastAsia"/>
          <w:noProof/>
          <w:vertAlign w:val="subscript"/>
          <w:lang w:val="en-US" w:eastAsia="ko-KR"/>
        </w:rPr>
        <w:t>UMAX.f.c</w:t>
      </w:r>
      <w:r w:rsidR="00892504" w:rsidRPr="00B266CC">
        <w:rPr>
          <w:rFonts w:eastAsiaTheme="minorEastAsia"/>
          <w:noProof/>
          <w:lang w:val="en-US" w:eastAsia="ko-KR"/>
        </w:rPr>
        <w:t xml:space="preserve"> needs to be measured usin</w:t>
      </w:r>
      <w:r w:rsidR="00C10F85" w:rsidRPr="00B266CC">
        <w:rPr>
          <w:rFonts w:eastAsiaTheme="minorEastAsia"/>
          <w:noProof/>
          <w:lang w:val="en-US" w:eastAsia="ko-KR"/>
        </w:rPr>
        <w:t>g</w:t>
      </w:r>
      <w:r w:rsidR="00892504" w:rsidRPr="00B266CC">
        <w:rPr>
          <w:rFonts w:eastAsiaTheme="minorEastAsia"/>
          <w:noProof/>
          <w:lang w:val="en-US" w:eastAsia="ko-KR"/>
        </w:rPr>
        <w:t xml:space="preserve"> the 1</w:t>
      </w:r>
      <w:r w:rsidR="00892504" w:rsidRPr="00B266CC">
        <w:rPr>
          <w:rFonts w:eastAsiaTheme="minorEastAsia"/>
          <w:noProof/>
          <w:vertAlign w:val="superscript"/>
          <w:lang w:val="en-US" w:eastAsia="ko-KR"/>
        </w:rPr>
        <w:t>st</w:t>
      </w:r>
      <w:r w:rsidR="00892504" w:rsidRPr="00B266CC">
        <w:rPr>
          <w:rFonts w:eastAsiaTheme="minorEastAsia"/>
          <w:noProof/>
          <w:lang w:val="en-US" w:eastAsia="ko-KR"/>
        </w:rPr>
        <w:t xml:space="preserve"> slot only.</w:t>
      </w:r>
    </w:p>
    <w:p w14:paraId="46B605D4" w14:textId="77777777" w:rsidR="00A90323" w:rsidRPr="00C10F85" w:rsidRDefault="00A90323" w:rsidP="00801CF6">
      <w:pPr>
        <w:rPr>
          <w:rFonts w:eastAsiaTheme="minorEastAsia"/>
          <w:noProof/>
          <w:lang w:val="en-US"/>
        </w:rPr>
      </w:pPr>
    </w:p>
    <w:p w14:paraId="3A978E58" w14:textId="491F0956" w:rsidR="00892504" w:rsidRPr="00C10F85" w:rsidRDefault="00A90323" w:rsidP="00A90323">
      <w:pPr>
        <w:pStyle w:val="Heading2"/>
        <w:rPr>
          <w:lang w:val="en-US"/>
        </w:rPr>
      </w:pPr>
      <w:r w:rsidRPr="00C10F85">
        <w:rPr>
          <w:lang w:val="en-US"/>
        </w:rPr>
        <w:t>Power imbalance performance with two links</w:t>
      </w:r>
    </w:p>
    <w:p w14:paraId="05280B7E" w14:textId="21AA3987" w:rsidR="00A90323" w:rsidRPr="00C10F85" w:rsidRDefault="00A90323" w:rsidP="00085703">
      <w:pPr>
        <w:spacing w:after="120"/>
        <w:rPr>
          <w:color w:val="000000" w:themeColor="text1"/>
          <w:szCs w:val="24"/>
          <w:lang w:val="en-US" w:eastAsia="zh-CN"/>
        </w:rPr>
      </w:pPr>
      <w:r w:rsidRPr="00C10F85">
        <w:rPr>
          <w:color w:val="000000" w:themeColor="text1"/>
          <w:szCs w:val="24"/>
          <w:lang w:val="en-US" w:eastAsia="zh-CN"/>
        </w:rPr>
        <w:t>The power imbalance performance requirements for single RAT defined in 36.101 clause 14.4 for LTE V2X and in 38.101-4 clause 11.1.6 for NR V2X require the receiver to tolerate ~1</w:t>
      </w:r>
      <w:r w:rsidR="006A4AB9" w:rsidRPr="00C10F85">
        <w:rPr>
          <w:color w:val="000000" w:themeColor="text1"/>
          <w:szCs w:val="24"/>
          <w:lang w:val="en-US" w:eastAsia="zh-CN"/>
        </w:rPr>
        <w:t>7dB power imbalance for LTE V2X</w:t>
      </w:r>
      <w:r w:rsidRPr="00C10F85">
        <w:rPr>
          <w:color w:val="000000" w:themeColor="text1"/>
          <w:szCs w:val="24"/>
          <w:lang w:val="en-US" w:eastAsia="zh-CN"/>
        </w:rPr>
        <w:t xml:space="preserve"> (Reference channel CD.10 with 3 RBs 20M 15kHz SCS) and ~25dB for NR V2X (Reference channel </w:t>
      </w:r>
      <w:proofErr w:type="gramStart"/>
      <w:r w:rsidRPr="00C10F85">
        <w:rPr>
          <w:color w:val="000000" w:themeColor="text1"/>
          <w:szCs w:val="24"/>
          <w:lang w:val="en-US" w:eastAsia="zh-CN"/>
        </w:rPr>
        <w:t>R.PSSCH</w:t>
      </w:r>
      <w:proofErr w:type="gramEnd"/>
      <w:r w:rsidRPr="00C10F85">
        <w:rPr>
          <w:color w:val="000000" w:themeColor="text1"/>
          <w:szCs w:val="24"/>
          <w:lang w:val="en-US" w:eastAsia="zh-CN"/>
        </w:rPr>
        <w:t>.2-1.4 with 10 RBs 20M 30kHz SCS).</w:t>
      </w:r>
    </w:p>
    <w:p w14:paraId="618FE1A5" w14:textId="31426B36" w:rsidR="00801CF6" w:rsidRPr="00C10F85" w:rsidRDefault="00A90323" w:rsidP="00085703">
      <w:pPr>
        <w:spacing w:after="120"/>
        <w:rPr>
          <w:color w:val="000000" w:themeColor="text1"/>
          <w:szCs w:val="24"/>
          <w:lang w:val="en-US" w:eastAsia="zh-CN"/>
        </w:rPr>
      </w:pPr>
      <w:r w:rsidRPr="00C10F85">
        <w:rPr>
          <w:color w:val="000000" w:themeColor="text1"/>
          <w:szCs w:val="24"/>
          <w:lang w:val="en-US" w:eastAsia="zh-CN"/>
        </w:rPr>
        <w:t xml:space="preserve">The </w:t>
      </w:r>
      <w:r w:rsidR="007E7650" w:rsidRPr="00C10F85">
        <w:rPr>
          <w:color w:val="000000" w:themeColor="text1"/>
          <w:szCs w:val="24"/>
          <w:lang w:val="en-US" w:eastAsia="zh-CN"/>
        </w:rPr>
        <w:t xml:space="preserve">power imbalance requirement with two links </w:t>
      </w:r>
      <w:r w:rsidRPr="00C10F85">
        <w:rPr>
          <w:color w:val="000000" w:themeColor="text1"/>
          <w:szCs w:val="24"/>
          <w:lang w:val="en-US" w:eastAsia="zh-CN"/>
        </w:rPr>
        <w:t xml:space="preserve">for </w:t>
      </w:r>
      <w:r w:rsidR="004A71EF" w:rsidRPr="00C10F85">
        <w:rPr>
          <w:color w:val="000000" w:themeColor="text1"/>
          <w:szCs w:val="24"/>
          <w:lang w:val="en-US" w:eastAsia="zh-CN"/>
        </w:rPr>
        <w:t xml:space="preserve">LTE V2X and </w:t>
      </w:r>
      <w:r w:rsidRPr="00C10F85">
        <w:rPr>
          <w:color w:val="000000" w:themeColor="text1"/>
          <w:szCs w:val="24"/>
          <w:lang w:val="en-US" w:eastAsia="zh-CN"/>
        </w:rPr>
        <w:t xml:space="preserve">NR V2X is defined using </w:t>
      </w:r>
      <w:r w:rsidR="004A71EF" w:rsidRPr="00C10F85">
        <w:rPr>
          <w:color w:val="000000" w:themeColor="text1"/>
          <w:szCs w:val="24"/>
          <w:lang w:val="en-US" w:eastAsia="zh-CN"/>
        </w:rPr>
        <w:t>same RAT</w:t>
      </w:r>
      <w:r w:rsidRPr="00C10F85">
        <w:rPr>
          <w:color w:val="000000" w:themeColor="text1"/>
          <w:szCs w:val="24"/>
          <w:lang w:val="en-US" w:eastAsia="zh-CN"/>
        </w:rPr>
        <w:t xml:space="preserve"> for both interfering and victim UE</w:t>
      </w:r>
      <w:r w:rsidR="007E7650" w:rsidRPr="00C10F85">
        <w:rPr>
          <w:color w:val="000000" w:themeColor="text1"/>
          <w:szCs w:val="24"/>
          <w:lang w:val="en-US" w:eastAsia="zh-CN"/>
        </w:rPr>
        <w:t xml:space="preserve">, but the demodulation requirement is set only for the victim. As </w:t>
      </w:r>
      <w:r w:rsidR="004A71EF" w:rsidRPr="00C10F85">
        <w:rPr>
          <w:color w:val="000000" w:themeColor="text1"/>
          <w:szCs w:val="24"/>
          <w:lang w:val="en-US" w:eastAsia="zh-CN"/>
        </w:rPr>
        <w:t xml:space="preserve">interfering signal in </w:t>
      </w:r>
      <w:r w:rsidR="00C10F85" w:rsidRPr="00C10F85">
        <w:rPr>
          <w:color w:val="000000" w:themeColor="text1"/>
          <w:szCs w:val="24"/>
          <w:lang w:val="en-US" w:eastAsia="zh-CN"/>
        </w:rPr>
        <w:t>these test cases</w:t>
      </w:r>
      <w:r w:rsidR="007E7650" w:rsidRPr="00C10F85">
        <w:rPr>
          <w:color w:val="000000" w:themeColor="text1"/>
          <w:szCs w:val="24"/>
          <w:lang w:val="en-US" w:eastAsia="zh-CN"/>
        </w:rPr>
        <w:t xml:space="preserve"> is basically acting as strong interfering </w:t>
      </w:r>
      <w:r w:rsidR="004A71EF" w:rsidRPr="00C10F85">
        <w:rPr>
          <w:color w:val="000000" w:themeColor="text1"/>
          <w:szCs w:val="24"/>
          <w:lang w:val="en-US" w:eastAsia="zh-CN"/>
        </w:rPr>
        <w:t xml:space="preserve">in-band </w:t>
      </w:r>
      <w:r w:rsidR="007E7650" w:rsidRPr="00C10F85">
        <w:rPr>
          <w:color w:val="000000" w:themeColor="text1"/>
          <w:szCs w:val="24"/>
          <w:lang w:val="en-US" w:eastAsia="zh-CN"/>
        </w:rPr>
        <w:t xml:space="preserve">signal, that impacts the AGC, it is fair to assume that this already </w:t>
      </w:r>
      <w:r w:rsidR="007E7650" w:rsidRPr="00B266CC">
        <w:rPr>
          <w:color w:val="000000" w:themeColor="text1"/>
          <w:szCs w:val="24"/>
          <w:lang w:val="en-US" w:eastAsia="zh-CN"/>
        </w:rPr>
        <w:t>defined test case also models the scenarios for co-channel coexistence</w:t>
      </w:r>
      <w:r w:rsidR="004A71EF" w:rsidRPr="00B266CC">
        <w:rPr>
          <w:color w:val="000000" w:themeColor="text1"/>
          <w:szCs w:val="24"/>
          <w:lang w:val="en-US" w:eastAsia="zh-CN"/>
        </w:rPr>
        <w:t xml:space="preserve"> and no new tests cases are needed</w:t>
      </w:r>
      <w:r w:rsidR="007E7650" w:rsidRPr="00B266CC">
        <w:rPr>
          <w:color w:val="000000" w:themeColor="text1"/>
          <w:szCs w:val="24"/>
          <w:lang w:val="en-US" w:eastAsia="zh-CN"/>
        </w:rPr>
        <w:t>.</w:t>
      </w:r>
      <w:r w:rsidR="004A71EF" w:rsidRPr="00B266CC">
        <w:rPr>
          <w:color w:val="000000" w:themeColor="text1"/>
          <w:szCs w:val="24"/>
          <w:lang w:val="en-US" w:eastAsia="zh-CN"/>
        </w:rPr>
        <w:t xml:space="preserve"> There are</w:t>
      </w:r>
      <w:r w:rsidR="004A71EF" w:rsidRPr="00C10F85">
        <w:rPr>
          <w:color w:val="000000" w:themeColor="text1"/>
          <w:szCs w:val="24"/>
          <w:lang w:val="en-US" w:eastAsia="zh-CN"/>
        </w:rPr>
        <w:t xml:space="preserve"> differences between the waveforms of LTE V2X and NR V2X signals, but changing the modulation and numerology of the </w:t>
      </w:r>
      <w:r w:rsidR="006A4AB9" w:rsidRPr="00C10F85">
        <w:rPr>
          <w:color w:val="000000" w:themeColor="text1"/>
          <w:szCs w:val="24"/>
          <w:lang w:val="en-US" w:eastAsia="zh-CN"/>
        </w:rPr>
        <w:t xml:space="preserve">in-channel </w:t>
      </w:r>
      <w:r w:rsidR="004A71EF" w:rsidRPr="00C10F85">
        <w:rPr>
          <w:color w:val="000000" w:themeColor="text1"/>
          <w:szCs w:val="24"/>
          <w:lang w:val="en-US" w:eastAsia="zh-CN"/>
        </w:rPr>
        <w:t xml:space="preserve">interfering signal while maintaining the power and bandwidth unchanged is expected to have </w:t>
      </w:r>
      <w:r w:rsidR="00C10F85" w:rsidRPr="00C10F85">
        <w:rPr>
          <w:color w:val="000000" w:themeColor="text1"/>
          <w:szCs w:val="24"/>
          <w:lang w:val="en-US" w:eastAsia="zh-CN"/>
        </w:rPr>
        <w:t>negligible</w:t>
      </w:r>
      <w:r w:rsidR="004A71EF" w:rsidRPr="00C10F85">
        <w:rPr>
          <w:color w:val="000000" w:themeColor="text1"/>
          <w:szCs w:val="24"/>
          <w:lang w:val="en-US" w:eastAsia="zh-CN"/>
        </w:rPr>
        <w:t xml:space="preserve"> impact.</w:t>
      </w:r>
    </w:p>
    <w:p w14:paraId="3D8DBBD4" w14:textId="77777777" w:rsidR="00A90323" w:rsidRPr="00C10F85" w:rsidRDefault="00A90323" w:rsidP="00085703">
      <w:pPr>
        <w:spacing w:after="120"/>
        <w:rPr>
          <w:color w:val="000000" w:themeColor="text1"/>
          <w:szCs w:val="24"/>
          <w:lang w:val="en-US" w:eastAsia="zh-CN"/>
        </w:rPr>
      </w:pPr>
    </w:p>
    <w:p w14:paraId="4DAFC140" w14:textId="433E159E" w:rsidR="00A90323" w:rsidRPr="00C10F85" w:rsidRDefault="00A90323" w:rsidP="00085703">
      <w:pPr>
        <w:spacing w:after="120"/>
        <w:rPr>
          <w:color w:val="000000" w:themeColor="text1"/>
          <w:szCs w:val="24"/>
          <w:lang w:val="en-US" w:eastAsia="zh-CN"/>
        </w:rPr>
      </w:pPr>
      <w:r w:rsidRPr="00C10F85">
        <w:rPr>
          <w:b/>
          <w:color w:val="000000" w:themeColor="text1"/>
          <w:szCs w:val="24"/>
          <w:lang w:val="en-US" w:eastAsia="zh-CN"/>
        </w:rPr>
        <w:t>Proposal 3:</w:t>
      </w:r>
      <w:r w:rsidRPr="00C10F85">
        <w:rPr>
          <w:color w:val="000000" w:themeColor="text1"/>
          <w:szCs w:val="24"/>
          <w:lang w:val="en-US" w:eastAsia="zh-CN"/>
        </w:rPr>
        <w:t xml:space="preserve"> </w:t>
      </w:r>
      <w:r w:rsidR="007E7650" w:rsidRPr="00C10F85">
        <w:rPr>
          <w:color w:val="000000" w:themeColor="text1"/>
          <w:szCs w:val="24"/>
          <w:lang w:val="en-US" w:eastAsia="zh-CN"/>
        </w:rPr>
        <w:t>The power imbalance requirement with two links for NR V2X is defined using 30kHz SCS for both interfering and victim UE, but the demodulation requirement is set only for the victim. As interfering signal in this test case is basically acting as strong interfering signal, that impacts the AGC, it is fair to assume that this already defined test case also models the scenarios for co-channel coexistence for NR V2X.</w:t>
      </w:r>
    </w:p>
    <w:p w14:paraId="500A6AD5" w14:textId="77777777" w:rsidR="00A90323" w:rsidRPr="00C10F85" w:rsidRDefault="00A90323" w:rsidP="00085703">
      <w:pPr>
        <w:spacing w:after="120"/>
        <w:rPr>
          <w:color w:val="000000" w:themeColor="text1"/>
          <w:szCs w:val="24"/>
          <w:lang w:val="en-US" w:eastAsia="zh-CN"/>
        </w:rPr>
      </w:pPr>
    </w:p>
    <w:p w14:paraId="5B825D22" w14:textId="195EF9D0" w:rsidR="00085703" w:rsidRPr="00C10F85" w:rsidRDefault="00085703" w:rsidP="00085703">
      <w:pPr>
        <w:pStyle w:val="Heading1"/>
        <w:rPr>
          <w:lang w:val="en-US" w:eastAsia="zh-CN"/>
        </w:rPr>
      </w:pPr>
      <w:r w:rsidRPr="00C10F85">
        <w:rPr>
          <w:lang w:val="en-US" w:eastAsia="zh-CN"/>
        </w:rPr>
        <w:t>Conclusions</w:t>
      </w:r>
    </w:p>
    <w:p w14:paraId="0264F8A9" w14:textId="77777777" w:rsidR="006A4AB9" w:rsidRPr="00C10F85" w:rsidRDefault="006A4AB9" w:rsidP="006A4AB9">
      <w:pPr>
        <w:pStyle w:val="BodyText"/>
        <w:rPr>
          <w:rFonts w:eastAsiaTheme="minorEastAsia"/>
          <w:noProof/>
          <w:lang w:val="en-US" w:eastAsia="ko-KR"/>
        </w:rPr>
      </w:pPr>
      <w:r w:rsidRPr="00C10F85">
        <w:rPr>
          <w:b/>
          <w:lang w:val="en-US" w:eastAsia="ko-KR"/>
        </w:rPr>
        <w:t>Proposal 1</w:t>
      </w:r>
      <w:r w:rsidRPr="00C10F85">
        <w:rPr>
          <w:rFonts w:eastAsiaTheme="minorEastAsia"/>
          <w:noProof/>
          <w:lang w:val="en-US" w:eastAsia="ko-KR"/>
        </w:rPr>
        <w:t>: RAN4 should analyze if additional functionality or requirements are needed to ensure that NR SL UEs follow the behavior as shown in Figure 3.2 C and/or 3.2D. Is there a need for NR SL / LTE SL co-channel co-existence requirement for 30kHz SCS NR SL UE that ensures that power of the 2nd slot is never higher than the power of the 1st slot (relative requirement)?</w:t>
      </w:r>
    </w:p>
    <w:p w14:paraId="76A42250" w14:textId="77777777" w:rsidR="006A4AB9" w:rsidRPr="00C10F85" w:rsidRDefault="006A4AB9" w:rsidP="006A4AB9">
      <w:pPr>
        <w:pStyle w:val="BodyText"/>
        <w:rPr>
          <w:rFonts w:eastAsiaTheme="minorEastAsia"/>
          <w:noProof/>
          <w:lang w:val="en-US" w:eastAsia="ko-KR"/>
        </w:rPr>
      </w:pPr>
      <w:r w:rsidRPr="00C10F85">
        <w:rPr>
          <w:rFonts w:eastAsiaTheme="minorEastAsia"/>
          <w:noProof/>
          <w:lang w:val="en-US" w:eastAsia="ko-KR"/>
        </w:rPr>
        <w:t>In addition, RAN4 should analyze if this beahvior that ensures the co-channel coexistence can impact some other minimum performance requirements. One example here can be the P</w:t>
      </w:r>
      <w:r w:rsidRPr="00C10F85">
        <w:rPr>
          <w:rFonts w:eastAsiaTheme="minorEastAsia"/>
          <w:noProof/>
          <w:vertAlign w:val="subscript"/>
          <w:lang w:val="en-US" w:eastAsia="ko-KR"/>
        </w:rPr>
        <w:t>UMAX,f,c</w:t>
      </w:r>
      <w:r w:rsidRPr="00C10F85">
        <w:rPr>
          <w:rFonts w:eastAsiaTheme="minorEastAsia"/>
          <w:noProof/>
          <w:lang w:val="en-US" w:eastAsia="ko-KR"/>
        </w:rPr>
        <w:t>, which shall be within the bounds:</w:t>
      </w:r>
    </w:p>
    <w:p w14:paraId="11C55CBD" w14:textId="77777777" w:rsidR="006A4AB9" w:rsidRPr="00C10F85" w:rsidRDefault="006A4AB9" w:rsidP="006A4AB9">
      <w:pPr>
        <w:pStyle w:val="BodyText"/>
        <w:rPr>
          <w:rFonts w:eastAsiaTheme="minorEastAsia"/>
          <w:noProof/>
          <w:lang w:val="en-US" w:eastAsia="ko-KR"/>
        </w:rPr>
      </w:pPr>
      <w:r w:rsidRPr="00C10F85">
        <w:rPr>
          <w:rFonts w:eastAsiaTheme="minorEastAsia"/>
          <w:noProof/>
          <w:lang w:val="en-US" w:eastAsia="ko-KR"/>
        </w:rPr>
        <w:tab/>
        <w:t>P</w:t>
      </w:r>
      <w:r w:rsidRPr="00C10F85">
        <w:rPr>
          <w:rFonts w:eastAsiaTheme="minorEastAsia"/>
          <w:noProof/>
          <w:vertAlign w:val="subscript"/>
          <w:lang w:val="en-US" w:eastAsia="ko-KR"/>
        </w:rPr>
        <w:t>CMAX_L,f,c</w:t>
      </w:r>
      <w:r w:rsidRPr="00C10F85">
        <w:rPr>
          <w:rFonts w:eastAsiaTheme="minorEastAsia"/>
          <w:noProof/>
          <w:lang w:val="en-US" w:eastAsia="ko-KR"/>
        </w:rPr>
        <w:t xml:space="preserve">  –  MAX{T</w:t>
      </w:r>
      <w:r w:rsidRPr="00C10F85">
        <w:rPr>
          <w:rFonts w:eastAsiaTheme="minorEastAsia"/>
          <w:noProof/>
          <w:vertAlign w:val="subscript"/>
          <w:lang w:val="en-US" w:eastAsia="ko-KR"/>
        </w:rPr>
        <w:t>L,c</w:t>
      </w:r>
      <w:r w:rsidRPr="00C10F85">
        <w:rPr>
          <w:rFonts w:eastAsiaTheme="minorEastAsia"/>
          <w:noProof/>
          <w:lang w:val="en-US" w:eastAsia="ko-KR"/>
        </w:rPr>
        <w:t>, T(P</w:t>
      </w:r>
      <w:r w:rsidRPr="00C10F85">
        <w:rPr>
          <w:rFonts w:eastAsiaTheme="minorEastAsia"/>
          <w:noProof/>
          <w:vertAlign w:val="subscript"/>
          <w:lang w:val="en-US" w:eastAsia="ko-KR"/>
        </w:rPr>
        <w:t>CMAX_L,f,c</w:t>
      </w:r>
      <w:r w:rsidRPr="00C10F85">
        <w:rPr>
          <w:rFonts w:eastAsiaTheme="minorEastAsia"/>
          <w:noProof/>
          <w:lang w:val="en-US" w:eastAsia="ko-KR"/>
        </w:rPr>
        <w:t>)}  ≤  P</w:t>
      </w:r>
      <w:r w:rsidRPr="00C10F85">
        <w:rPr>
          <w:rFonts w:eastAsiaTheme="minorEastAsia"/>
          <w:noProof/>
          <w:vertAlign w:val="subscript"/>
          <w:lang w:val="en-US" w:eastAsia="ko-KR"/>
        </w:rPr>
        <w:t>UMAX,f,c</w:t>
      </w:r>
      <w:r w:rsidRPr="00C10F85">
        <w:rPr>
          <w:rFonts w:eastAsiaTheme="minorEastAsia"/>
          <w:noProof/>
          <w:lang w:val="en-US" w:eastAsia="ko-KR"/>
        </w:rPr>
        <w:t xml:space="preserve">  ≤  P</w:t>
      </w:r>
      <w:r w:rsidRPr="00C10F85">
        <w:rPr>
          <w:rFonts w:eastAsiaTheme="minorEastAsia"/>
          <w:noProof/>
          <w:vertAlign w:val="subscript"/>
          <w:lang w:val="en-US" w:eastAsia="ko-KR"/>
        </w:rPr>
        <w:t>CMAX_H,f,c</w:t>
      </w:r>
      <w:r w:rsidRPr="00C10F85">
        <w:rPr>
          <w:rFonts w:eastAsiaTheme="minorEastAsia"/>
          <w:noProof/>
          <w:lang w:val="en-US" w:eastAsia="ko-KR"/>
        </w:rPr>
        <w:t xml:space="preserve">  +  T(P</w:t>
      </w:r>
      <w:r w:rsidRPr="00C10F85">
        <w:rPr>
          <w:rFonts w:eastAsiaTheme="minorEastAsia"/>
          <w:noProof/>
          <w:vertAlign w:val="subscript"/>
          <w:lang w:val="en-US" w:eastAsia="ko-KR"/>
        </w:rPr>
        <w:t>CMAX_H,f,c</w:t>
      </w:r>
      <w:r w:rsidRPr="00C10F85">
        <w:rPr>
          <w:rFonts w:eastAsiaTheme="minorEastAsia"/>
          <w:noProof/>
          <w:lang w:val="en-US" w:eastAsia="ko-KR"/>
        </w:rPr>
        <w:t>)</w:t>
      </w:r>
    </w:p>
    <w:p w14:paraId="5B838B03" w14:textId="77777777" w:rsidR="006A4AB9" w:rsidRPr="00C10F85" w:rsidRDefault="006A4AB9" w:rsidP="006A4AB9">
      <w:pPr>
        <w:pStyle w:val="BodyText"/>
        <w:rPr>
          <w:rFonts w:eastAsiaTheme="minorEastAsia"/>
          <w:noProof/>
          <w:lang w:val="en-US" w:eastAsia="ko-KR"/>
        </w:rPr>
      </w:pPr>
      <w:r w:rsidRPr="00C10F85">
        <w:rPr>
          <w:rFonts w:eastAsiaTheme="minorEastAsia"/>
          <w:noProof/>
          <w:lang w:val="en-US" w:eastAsia="ko-KR"/>
        </w:rPr>
        <w:t>as specified in 6.2.4 in table 6.2.4-1.</w:t>
      </w:r>
    </w:p>
    <w:p w14:paraId="6078CF73" w14:textId="77777777" w:rsidR="006A4AB9" w:rsidRPr="00C10F85" w:rsidRDefault="006A4AB9" w:rsidP="006A4AB9">
      <w:pPr>
        <w:pStyle w:val="BodyText"/>
        <w:rPr>
          <w:rFonts w:eastAsiaTheme="minorEastAsia"/>
          <w:noProof/>
          <w:lang w:val="en-US" w:eastAsia="ko-KR"/>
        </w:rPr>
      </w:pPr>
      <w:r w:rsidRPr="00C10F85">
        <w:rPr>
          <w:rFonts w:eastAsiaTheme="minorEastAsia"/>
          <w:noProof/>
          <w:lang w:val="en-US" w:eastAsia="ko-KR"/>
        </w:rPr>
        <w:t>In case that clarification in P</w:t>
      </w:r>
      <w:r w:rsidRPr="00C10F85">
        <w:rPr>
          <w:rFonts w:eastAsiaTheme="minorEastAsia"/>
          <w:noProof/>
          <w:vertAlign w:val="subscript"/>
          <w:lang w:val="en-US" w:eastAsia="ko-KR"/>
        </w:rPr>
        <w:t>UMAX,f,c</w:t>
      </w:r>
      <w:r w:rsidRPr="00C10F85">
        <w:rPr>
          <w:rFonts w:eastAsiaTheme="minorEastAsia"/>
          <w:noProof/>
          <w:lang w:val="en-US" w:eastAsia="ko-KR"/>
        </w:rPr>
        <w:t xml:space="preserve"> requirement is deemed necessary it could be clarified that P</w:t>
      </w:r>
      <w:r w:rsidRPr="00C10F85">
        <w:rPr>
          <w:rFonts w:eastAsiaTheme="minorEastAsia"/>
          <w:noProof/>
          <w:vertAlign w:val="subscript"/>
          <w:lang w:val="en-US" w:eastAsia="ko-KR"/>
        </w:rPr>
        <w:t>UMAX,f,c</w:t>
      </w:r>
      <w:r w:rsidRPr="00C10F85">
        <w:rPr>
          <w:rFonts w:eastAsiaTheme="minorEastAsia"/>
          <w:noProof/>
          <w:lang w:val="en-US" w:eastAsia="ko-KR"/>
        </w:rPr>
        <w:t xml:space="preserve"> tolerances are increased in case of co-channel coexistence or that P</w:t>
      </w:r>
      <w:r w:rsidRPr="00C10F85">
        <w:rPr>
          <w:rFonts w:eastAsiaTheme="minorEastAsia"/>
          <w:noProof/>
          <w:vertAlign w:val="subscript"/>
          <w:lang w:val="en-US" w:eastAsia="ko-KR"/>
        </w:rPr>
        <w:t>UMAX.f.c</w:t>
      </w:r>
      <w:r w:rsidRPr="00C10F85">
        <w:rPr>
          <w:rFonts w:eastAsiaTheme="minorEastAsia"/>
          <w:noProof/>
          <w:lang w:val="en-US" w:eastAsia="ko-KR"/>
        </w:rPr>
        <w:t xml:space="preserve"> needs to be measured using the 1</w:t>
      </w:r>
      <w:r w:rsidRPr="00C10F85">
        <w:rPr>
          <w:rFonts w:eastAsiaTheme="minorEastAsia"/>
          <w:noProof/>
          <w:vertAlign w:val="superscript"/>
          <w:lang w:val="en-US" w:eastAsia="ko-KR"/>
        </w:rPr>
        <w:t>st</w:t>
      </w:r>
      <w:r w:rsidRPr="00C10F85">
        <w:rPr>
          <w:rFonts w:eastAsiaTheme="minorEastAsia"/>
          <w:noProof/>
          <w:lang w:val="en-US" w:eastAsia="ko-KR"/>
        </w:rPr>
        <w:t xml:space="preserve"> slot only.</w:t>
      </w:r>
    </w:p>
    <w:p w14:paraId="15BB550F" w14:textId="77777777" w:rsidR="006A4AB9" w:rsidRPr="00C10F85" w:rsidRDefault="006A4AB9" w:rsidP="006A4AB9">
      <w:pPr>
        <w:pStyle w:val="BodyText"/>
        <w:rPr>
          <w:rFonts w:eastAsiaTheme="minorEastAsia"/>
          <w:noProof/>
          <w:lang w:val="en-US" w:eastAsia="ko-KR"/>
        </w:rPr>
      </w:pPr>
      <w:r w:rsidRPr="00C10F85">
        <w:rPr>
          <w:b/>
          <w:lang w:val="en-US" w:eastAsia="ko-KR"/>
        </w:rPr>
        <w:t>Proposal 2</w:t>
      </w:r>
      <w:r w:rsidRPr="00C10F85">
        <w:rPr>
          <w:rFonts w:eastAsiaTheme="minorEastAsia"/>
          <w:noProof/>
          <w:lang w:val="en-US" w:eastAsia="ko-KR"/>
        </w:rPr>
        <w:t>: In case that clarification in P</w:t>
      </w:r>
      <w:r w:rsidRPr="00C10F85">
        <w:rPr>
          <w:rFonts w:eastAsiaTheme="minorEastAsia"/>
          <w:noProof/>
          <w:vertAlign w:val="subscript"/>
          <w:lang w:val="en-US" w:eastAsia="ko-KR"/>
        </w:rPr>
        <w:t>UMAX,f,c</w:t>
      </w:r>
      <w:r w:rsidRPr="00C10F85">
        <w:rPr>
          <w:rFonts w:eastAsiaTheme="minorEastAsia"/>
          <w:noProof/>
          <w:lang w:val="en-US" w:eastAsia="ko-KR"/>
        </w:rPr>
        <w:t xml:space="preserve"> requirement is deemed necessary it could be clarified that P</w:t>
      </w:r>
      <w:r w:rsidRPr="00C10F85">
        <w:rPr>
          <w:rFonts w:eastAsiaTheme="minorEastAsia"/>
          <w:noProof/>
          <w:vertAlign w:val="subscript"/>
          <w:lang w:val="en-US" w:eastAsia="ko-KR"/>
        </w:rPr>
        <w:t>UMAX,f,c</w:t>
      </w:r>
      <w:r w:rsidRPr="00C10F85">
        <w:rPr>
          <w:rFonts w:eastAsiaTheme="minorEastAsia"/>
          <w:noProof/>
          <w:lang w:val="en-US" w:eastAsia="ko-KR"/>
        </w:rPr>
        <w:t xml:space="preserve"> tolerances are increased in case of co-channel coexistence or that P</w:t>
      </w:r>
      <w:r w:rsidRPr="00C10F85">
        <w:rPr>
          <w:rFonts w:eastAsiaTheme="minorEastAsia"/>
          <w:noProof/>
          <w:vertAlign w:val="subscript"/>
          <w:lang w:val="en-US" w:eastAsia="ko-KR"/>
        </w:rPr>
        <w:t>UMAX.f.c</w:t>
      </w:r>
      <w:r w:rsidRPr="00C10F85">
        <w:rPr>
          <w:rFonts w:eastAsiaTheme="minorEastAsia"/>
          <w:noProof/>
          <w:lang w:val="en-US" w:eastAsia="ko-KR"/>
        </w:rPr>
        <w:t xml:space="preserve"> needs to be measured usinf the 1</w:t>
      </w:r>
      <w:r w:rsidRPr="00C10F85">
        <w:rPr>
          <w:rFonts w:eastAsiaTheme="minorEastAsia"/>
          <w:noProof/>
          <w:vertAlign w:val="superscript"/>
          <w:lang w:val="en-US" w:eastAsia="ko-KR"/>
        </w:rPr>
        <w:t>st</w:t>
      </w:r>
      <w:r w:rsidRPr="00C10F85">
        <w:rPr>
          <w:rFonts w:eastAsiaTheme="minorEastAsia"/>
          <w:noProof/>
          <w:lang w:val="en-US" w:eastAsia="ko-KR"/>
        </w:rPr>
        <w:t xml:space="preserve"> slot only.</w:t>
      </w:r>
    </w:p>
    <w:p w14:paraId="7007E0C7" w14:textId="5C17BE06" w:rsidR="006A4AB9" w:rsidRPr="00C10F85" w:rsidRDefault="006A4AB9" w:rsidP="006A4AB9">
      <w:pPr>
        <w:spacing w:after="120"/>
        <w:rPr>
          <w:color w:val="000000" w:themeColor="text1"/>
          <w:szCs w:val="24"/>
          <w:lang w:val="en-US" w:eastAsia="zh-CN"/>
        </w:rPr>
      </w:pPr>
      <w:r w:rsidRPr="00C10F85">
        <w:rPr>
          <w:b/>
          <w:color w:val="000000" w:themeColor="text1"/>
          <w:szCs w:val="24"/>
          <w:lang w:val="en-US" w:eastAsia="zh-CN"/>
        </w:rPr>
        <w:t>Proposal 3:</w:t>
      </w:r>
      <w:r w:rsidRPr="00C10F85">
        <w:rPr>
          <w:color w:val="000000" w:themeColor="text1"/>
          <w:szCs w:val="24"/>
          <w:lang w:val="en-US" w:eastAsia="zh-CN"/>
        </w:rPr>
        <w:t xml:space="preserve"> The power imbalance requirement with two links for NR V2X is defined using 30kHz SCS for both interfering and victim UE, but the demodulation requirement is set only for the victim. As interfering signal in this test case is basically acting as strong interfering signal, that impacts the AGC, it is fair to assume that this already defined test case also models the scenarios for co-channel coexistence for NR V2X.</w:t>
      </w:r>
    </w:p>
    <w:p w14:paraId="67FFCDAD" w14:textId="77777777" w:rsidR="00085703" w:rsidRPr="00C10F85" w:rsidRDefault="00085703" w:rsidP="00085703">
      <w:pPr>
        <w:spacing w:after="120"/>
        <w:rPr>
          <w:color w:val="000000" w:themeColor="text1"/>
          <w:szCs w:val="24"/>
          <w:lang w:val="en-US" w:eastAsia="zh-CN"/>
        </w:rPr>
      </w:pPr>
    </w:p>
    <w:p w14:paraId="38E0B2F8" w14:textId="3454ACE4" w:rsidR="003C6303" w:rsidRPr="00C10F85" w:rsidRDefault="003C6303" w:rsidP="003C6303">
      <w:pPr>
        <w:pStyle w:val="Heading1"/>
        <w:rPr>
          <w:lang w:val="en-US" w:eastAsia="zh-CN"/>
        </w:rPr>
      </w:pPr>
      <w:r w:rsidRPr="00C10F85">
        <w:rPr>
          <w:lang w:val="en-US" w:eastAsia="zh-CN"/>
        </w:rPr>
        <w:t>References</w:t>
      </w:r>
    </w:p>
    <w:p w14:paraId="1387B387" w14:textId="72CF7FB4" w:rsidR="00085703" w:rsidRDefault="003C6303" w:rsidP="00193A5E">
      <w:pPr>
        <w:rPr>
          <w:lang w:val="en-US" w:eastAsia="zh-CN"/>
        </w:rPr>
      </w:pPr>
      <w:r w:rsidRPr="00C10F85">
        <w:rPr>
          <w:lang w:val="en-US" w:eastAsia="zh-CN"/>
        </w:rPr>
        <w:t>[1]</w:t>
      </w:r>
      <w:r w:rsidRPr="00C10F85">
        <w:rPr>
          <w:lang w:val="en-US" w:eastAsia="zh-CN"/>
        </w:rPr>
        <w:tab/>
      </w:r>
      <w:r w:rsidR="00193A5E" w:rsidRPr="00193A5E">
        <w:rPr>
          <w:lang w:val="en-US" w:eastAsia="zh-CN"/>
        </w:rPr>
        <w:t>R4-2306633</w:t>
      </w:r>
      <w:r w:rsidRPr="00C10F85">
        <w:rPr>
          <w:lang w:val="en-US" w:eastAsia="zh-CN"/>
        </w:rPr>
        <w:t xml:space="preserve">, </w:t>
      </w:r>
      <w:r w:rsidR="00193A5E" w:rsidRPr="00193A5E">
        <w:rPr>
          <w:lang w:val="en-US" w:eastAsia="zh-CN"/>
        </w:rPr>
        <w:t>WF on NR SL con-current operation and co-channel coexistence scenario of LTE V2X and NR V2X</w:t>
      </w:r>
      <w:r w:rsidR="00193A5E">
        <w:rPr>
          <w:lang w:val="en-US" w:eastAsia="zh-CN"/>
        </w:rPr>
        <w:t>, LG electronics</w:t>
      </w:r>
    </w:p>
    <w:p w14:paraId="1D63218A" w14:textId="77777777" w:rsidR="00193A5E" w:rsidRPr="00C10F85" w:rsidRDefault="00193A5E" w:rsidP="00193A5E">
      <w:pPr>
        <w:rPr>
          <w:lang w:val="en-US" w:eastAsia="zh-CN"/>
        </w:rPr>
      </w:pPr>
    </w:p>
    <w:sectPr w:rsidR="00193A5E" w:rsidRPr="00C10F8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3F723" w14:textId="77777777" w:rsidR="00A85398" w:rsidRDefault="00A85398">
      <w:r>
        <w:separator/>
      </w:r>
    </w:p>
  </w:endnote>
  <w:endnote w:type="continuationSeparator" w:id="0">
    <w:p w14:paraId="4BE38329" w14:textId="77777777" w:rsidR="00A85398" w:rsidRDefault="00A8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PingFang TC">
    <w:altName w:val="맑은 고딕 Semilight"/>
    <w:charset w:val="88"/>
    <w:family w:val="swiss"/>
    <w:pitch w:val="variable"/>
    <w:sig w:usb0="00000000" w:usb1="7ACFFDFB" w:usb2="00000017" w:usb3="00000000" w:csb0="00100001"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C6C60" w14:textId="77777777" w:rsidR="00A85398" w:rsidRDefault="00A85398">
      <w:r>
        <w:separator/>
      </w:r>
    </w:p>
  </w:footnote>
  <w:footnote w:type="continuationSeparator" w:id="0">
    <w:p w14:paraId="6D2E187A" w14:textId="77777777" w:rsidR="00A85398" w:rsidRDefault="00A853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67F84"/>
    <w:multiLevelType w:val="multilevel"/>
    <w:tmpl w:val="97E6C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A1D13"/>
    <w:multiLevelType w:val="multilevel"/>
    <w:tmpl w:val="303A6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C85991"/>
    <w:multiLevelType w:val="hybridMultilevel"/>
    <w:tmpl w:val="FD067F06"/>
    <w:lvl w:ilvl="0" w:tplc="AB1246C2">
      <w:start w:val="8"/>
      <w:numFmt w:val="bullet"/>
      <w:lvlText w:val=""/>
      <w:lvlJc w:val="left"/>
      <w:pPr>
        <w:ind w:left="760" w:hanging="360"/>
      </w:pPr>
      <w:rPr>
        <w:rFonts w:ascii="Wingdings" w:eastAsia="Yu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8DD260F"/>
    <w:multiLevelType w:val="hybridMultilevel"/>
    <w:tmpl w:val="E8CEE55C"/>
    <w:lvl w:ilvl="0" w:tplc="4D8ED86A">
      <w:start w:val="7"/>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D37A3D"/>
    <w:multiLevelType w:val="multilevel"/>
    <w:tmpl w:val="53C076D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20"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1"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3C2C4A"/>
    <w:multiLevelType w:val="hybridMultilevel"/>
    <w:tmpl w:val="87B0EC6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AC2AEE"/>
    <w:multiLevelType w:val="hybridMultilevel"/>
    <w:tmpl w:val="7242A9DA"/>
    <w:lvl w:ilvl="0" w:tplc="E9088C00">
      <w:numFmt w:val="bullet"/>
      <w:lvlText w:val="-"/>
      <w:lvlJc w:val="left"/>
      <w:pPr>
        <w:ind w:left="760" w:hanging="360"/>
      </w:pPr>
      <w:rPr>
        <w:rFonts w:ascii="Malgun Gothic" w:eastAsia="Malgun Gothic" w:hAnsi="Malgun Gothic" w:cs="Times New Roman"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DFD39DC"/>
    <w:multiLevelType w:val="hybridMultilevel"/>
    <w:tmpl w:val="D0B8DAC4"/>
    <w:lvl w:ilvl="0" w:tplc="041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31"/>
  </w:num>
  <w:num w:numId="4">
    <w:abstractNumId w:val="27"/>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9"/>
  </w:num>
  <w:num w:numId="18">
    <w:abstractNumId w:val="6"/>
  </w:num>
  <w:num w:numId="19">
    <w:abstractNumId w:val="5"/>
  </w:num>
  <w:num w:numId="20">
    <w:abstractNumId w:val="4"/>
  </w:num>
  <w:num w:numId="21">
    <w:abstractNumId w:val="18"/>
  </w:num>
  <w:num w:numId="22">
    <w:abstractNumId w:val="18"/>
  </w:num>
  <w:num w:numId="23">
    <w:abstractNumId w:val="11"/>
  </w:num>
  <w:num w:numId="24">
    <w:abstractNumId w:val="0"/>
  </w:num>
  <w:num w:numId="25">
    <w:abstractNumId w:val="15"/>
  </w:num>
  <w:num w:numId="26">
    <w:abstractNumId w:val="1"/>
  </w:num>
  <w:num w:numId="27">
    <w:abstractNumId w:val="17"/>
  </w:num>
  <w:num w:numId="28">
    <w:abstractNumId w:val="16"/>
  </w:num>
  <w:num w:numId="29">
    <w:abstractNumId w:val="19"/>
  </w:num>
  <w:num w:numId="30">
    <w:abstractNumId w:val="3"/>
  </w:num>
  <w:num w:numId="31">
    <w:abstractNumId w:val="7"/>
  </w:num>
  <w:num w:numId="32">
    <w:abstractNumId w:val="23"/>
  </w:num>
  <w:num w:numId="33">
    <w:abstractNumId w:val="24"/>
  </w:num>
  <w:num w:numId="34">
    <w:abstractNumId w:val="14"/>
  </w:num>
  <w:num w:numId="35">
    <w:abstractNumId w:val="12"/>
  </w:num>
  <w:num w:numId="36">
    <w:abstractNumId w:val="20"/>
  </w:num>
  <w:num w:numId="37">
    <w:abstractNumId w:val="30"/>
  </w:num>
  <w:num w:numId="38">
    <w:abstractNumId w:val="22"/>
  </w:num>
  <w:num w:numId="39">
    <w:abstractNumId w:val="25"/>
  </w:num>
  <w:num w:numId="40">
    <w:abstractNumId w:val="8"/>
  </w:num>
  <w:num w:numId="41">
    <w:abstractNumId w:val="21"/>
  </w:num>
  <w:num w:numId="42">
    <w:abstractNumId w:val="13"/>
  </w:num>
  <w:num w:numId="43">
    <w:abstractNumId w:val="26"/>
  </w:num>
  <w:num w:numId="44">
    <w:abstractNumId w:val="29"/>
  </w:num>
  <w:num w:numId="45">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rgUAvoYn5CwAAAA="/>
  </w:docVars>
  <w:rsids>
    <w:rsidRoot w:val="00282213"/>
    <w:rsid w:val="00000265"/>
    <w:rsid w:val="0000223C"/>
    <w:rsid w:val="00004165"/>
    <w:rsid w:val="00020C56"/>
    <w:rsid w:val="00026ACC"/>
    <w:rsid w:val="00027821"/>
    <w:rsid w:val="0003171D"/>
    <w:rsid w:val="00031C1D"/>
    <w:rsid w:val="00035C50"/>
    <w:rsid w:val="00037D93"/>
    <w:rsid w:val="000457A1"/>
    <w:rsid w:val="00046018"/>
    <w:rsid w:val="00050001"/>
    <w:rsid w:val="00052041"/>
    <w:rsid w:val="0005326A"/>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7548"/>
    <w:rsid w:val="00093E7E"/>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C54E5"/>
    <w:rsid w:val="000D09FD"/>
    <w:rsid w:val="000D19DE"/>
    <w:rsid w:val="000D2633"/>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30462"/>
    <w:rsid w:val="0013295D"/>
    <w:rsid w:val="00136D4C"/>
    <w:rsid w:val="0013793C"/>
    <w:rsid w:val="00142538"/>
    <w:rsid w:val="00142BB9"/>
    <w:rsid w:val="00144F96"/>
    <w:rsid w:val="00151EAC"/>
    <w:rsid w:val="00153528"/>
    <w:rsid w:val="00154E68"/>
    <w:rsid w:val="001605B5"/>
    <w:rsid w:val="00162548"/>
    <w:rsid w:val="00172183"/>
    <w:rsid w:val="00173E57"/>
    <w:rsid w:val="001751AB"/>
    <w:rsid w:val="00175A3F"/>
    <w:rsid w:val="00180E09"/>
    <w:rsid w:val="001814F3"/>
    <w:rsid w:val="00183D4C"/>
    <w:rsid w:val="00183F6D"/>
    <w:rsid w:val="0018670E"/>
    <w:rsid w:val="0019219A"/>
    <w:rsid w:val="00193A5E"/>
    <w:rsid w:val="00195077"/>
    <w:rsid w:val="00196F25"/>
    <w:rsid w:val="001A033F"/>
    <w:rsid w:val="001A08AA"/>
    <w:rsid w:val="001A59CB"/>
    <w:rsid w:val="001B023D"/>
    <w:rsid w:val="001B7991"/>
    <w:rsid w:val="001C1409"/>
    <w:rsid w:val="001C2AE6"/>
    <w:rsid w:val="001C4A89"/>
    <w:rsid w:val="001C6177"/>
    <w:rsid w:val="001D0363"/>
    <w:rsid w:val="001D12B4"/>
    <w:rsid w:val="001D1B07"/>
    <w:rsid w:val="001D7D94"/>
    <w:rsid w:val="001D7E54"/>
    <w:rsid w:val="001E030C"/>
    <w:rsid w:val="001E0A28"/>
    <w:rsid w:val="001E4006"/>
    <w:rsid w:val="001E4218"/>
    <w:rsid w:val="001E6C4D"/>
    <w:rsid w:val="001F0B20"/>
    <w:rsid w:val="00200A62"/>
    <w:rsid w:val="00203740"/>
    <w:rsid w:val="002138EA"/>
    <w:rsid w:val="002139EA"/>
    <w:rsid w:val="00213F84"/>
    <w:rsid w:val="00214FBD"/>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E1A"/>
    <w:rsid w:val="00274E25"/>
    <w:rsid w:val="002775B1"/>
    <w:rsid w:val="002775B9"/>
    <w:rsid w:val="002811C4"/>
    <w:rsid w:val="00281D65"/>
    <w:rsid w:val="00282213"/>
    <w:rsid w:val="00284016"/>
    <w:rsid w:val="002858BF"/>
    <w:rsid w:val="002939AF"/>
    <w:rsid w:val="00294491"/>
    <w:rsid w:val="00294BDE"/>
    <w:rsid w:val="002A0CED"/>
    <w:rsid w:val="002A14BE"/>
    <w:rsid w:val="002A4CD0"/>
    <w:rsid w:val="002A7DA6"/>
    <w:rsid w:val="002B0D6E"/>
    <w:rsid w:val="002B1833"/>
    <w:rsid w:val="002B516C"/>
    <w:rsid w:val="002B5E1D"/>
    <w:rsid w:val="002B60C1"/>
    <w:rsid w:val="002B6448"/>
    <w:rsid w:val="002B6510"/>
    <w:rsid w:val="002C4B52"/>
    <w:rsid w:val="002C5C72"/>
    <w:rsid w:val="002D03E5"/>
    <w:rsid w:val="002D36EB"/>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368A"/>
    <w:rsid w:val="00315867"/>
    <w:rsid w:val="003167BA"/>
    <w:rsid w:val="00321150"/>
    <w:rsid w:val="003260D7"/>
    <w:rsid w:val="0033052D"/>
    <w:rsid w:val="00333272"/>
    <w:rsid w:val="00333D59"/>
    <w:rsid w:val="00336697"/>
    <w:rsid w:val="003418CB"/>
    <w:rsid w:val="003547C1"/>
    <w:rsid w:val="00355873"/>
    <w:rsid w:val="0035660F"/>
    <w:rsid w:val="003628B9"/>
    <w:rsid w:val="00362D8F"/>
    <w:rsid w:val="00367724"/>
    <w:rsid w:val="003710BA"/>
    <w:rsid w:val="003770F6"/>
    <w:rsid w:val="0038020A"/>
    <w:rsid w:val="00383E37"/>
    <w:rsid w:val="003903A1"/>
    <w:rsid w:val="00393042"/>
    <w:rsid w:val="00394AD5"/>
    <w:rsid w:val="0039642D"/>
    <w:rsid w:val="00397BE6"/>
    <w:rsid w:val="003A2E40"/>
    <w:rsid w:val="003B0158"/>
    <w:rsid w:val="003B40B6"/>
    <w:rsid w:val="003B56DB"/>
    <w:rsid w:val="003B755E"/>
    <w:rsid w:val="003C228E"/>
    <w:rsid w:val="003C51E7"/>
    <w:rsid w:val="003C6303"/>
    <w:rsid w:val="003C6893"/>
    <w:rsid w:val="003C6DE2"/>
    <w:rsid w:val="003D1EFD"/>
    <w:rsid w:val="003D28BF"/>
    <w:rsid w:val="003D2F82"/>
    <w:rsid w:val="003D4215"/>
    <w:rsid w:val="003D4C47"/>
    <w:rsid w:val="003D7719"/>
    <w:rsid w:val="003E40EE"/>
    <w:rsid w:val="003E6BF7"/>
    <w:rsid w:val="003F1C1B"/>
    <w:rsid w:val="003F3A2F"/>
    <w:rsid w:val="003F5805"/>
    <w:rsid w:val="00401144"/>
    <w:rsid w:val="00404831"/>
    <w:rsid w:val="00407661"/>
    <w:rsid w:val="00410314"/>
    <w:rsid w:val="00412063"/>
    <w:rsid w:val="00412671"/>
    <w:rsid w:val="00412DFC"/>
    <w:rsid w:val="00412EB1"/>
    <w:rsid w:val="00413DDE"/>
    <w:rsid w:val="00414118"/>
    <w:rsid w:val="00416084"/>
    <w:rsid w:val="00416713"/>
    <w:rsid w:val="00424F8C"/>
    <w:rsid w:val="00426275"/>
    <w:rsid w:val="004271BA"/>
    <w:rsid w:val="0043002B"/>
    <w:rsid w:val="00430497"/>
    <w:rsid w:val="00430EA5"/>
    <w:rsid w:val="00434DC1"/>
    <w:rsid w:val="004350F4"/>
    <w:rsid w:val="00436034"/>
    <w:rsid w:val="004412A0"/>
    <w:rsid w:val="00442337"/>
    <w:rsid w:val="00446408"/>
    <w:rsid w:val="00446967"/>
    <w:rsid w:val="00450F27"/>
    <w:rsid w:val="004510E5"/>
    <w:rsid w:val="00456A75"/>
    <w:rsid w:val="00460A61"/>
    <w:rsid w:val="00461E39"/>
    <w:rsid w:val="00462D3A"/>
    <w:rsid w:val="00463521"/>
    <w:rsid w:val="00471125"/>
    <w:rsid w:val="0047437A"/>
    <w:rsid w:val="00480E42"/>
    <w:rsid w:val="00481AD4"/>
    <w:rsid w:val="00481E54"/>
    <w:rsid w:val="00484C5D"/>
    <w:rsid w:val="00484D33"/>
    <w:rsid w:val="0048543E"/>
    <w:rsid w:val="004868C1"/>
    <w:rsid w:val="0048750F"/>
    <w:rsid w:val="00493803"/>
    <w:rsid w:val="004A17E9"/>
    <w:rsid w:val="004A34AD"/>
    <w:rsid w:val="004A495F"/>
    <w:rsid w:val="004A71EF"/>
    <w:rsid w:val="004A7544"/>
    <w:rsid w:val="004B6B0F"/>
    <w:rsid w:val="004C2548"/>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3159"/>
    <w:rsid w:val="005339DB"/>
    <w:rsid w:val="00534C89"/>
    <w:rsid w:val="00541573"/>
    <w:rsid w:val="0054348A"/>
    <w:rsid w:val="00551A22"/>
    <w:rsid w:val="005545E3"/>
    <w:rsid w:val="00571777"/>
    <w:rsid w:val="00580FF5"/>
    <w:rsid w:val="0058519C"/>
    <w:rsid w:val="00585B75"/>
    <w:rsid w:val="0059149A"/>
    <w:rsid w:val="005956EE"/>
    <w:rsid w:val="005A083E"/>
    <w:rsid w:val="005B4802"/>
    <w:rsid w:val="005B7962"/>
    <w:rsid w:val="005C06C6"/>
    <w:rsid w:val="005C074D"/>
    <w:rsid w:val="005C1EA6"/>
    <w:rsid w:val="005C2C88"/>
    <w:rsid w:val="005D041C"/>
    <w:rsid w:val="005D0B99"/>
    <w:rsid w:val="005D308E"/>
    <w:rsid w:val="005D3A48"/>
    <w:rsid w:val="005D3F1F"/>
    <w:rsid w:val="005D7AF8"/>
    <w:rsid w:val="005E17BF"/>
    <w:rsid w:val="005E2BD1"/>
    <w:rsid w:val="005E366A"/>
    <w:rsid w:val="005F2145"/>
    <w:rsid w:val="005F60F1"/>
    <w:rsid w:val="005F727E"/>
    <w:rsid w:val="006016E1"/>
    <w:rsid w:val="00602D27"/>
    <w:rsid w:val="006047EB"/>
    <w:rsid w:val="006144A1"/>
    <w:rsid w:val="00615EBB"/>
    <w:rsid w:val="00616096"/>
    <w:rsid w:val="006160A2"/>
    <w:rsid w:val="006302AA"/>
    <w:rsid w:val="00633B1C"/>
    <w:rsid w:val="00635E43"/>
    <w:rsid w:val="006363BD"/>
    <w:rsid w:val="00637BCC"/>
    <w:rsid w:val="006412DC"/>
    <w:rsid w:val="006418C7"/>
    <w:rsid w:val="00642BC6"/>
    <w:rsid w:val="00644790"/>
    <w:rsid w:val="006501AF"/>
    <w:rsid w:val="00650DDE"/>
    <w:rsid w:val="00653BCF"/>
    <w:rsid w:val="00654CBB"/>
    <w:rsid w:val="0065505B"/>
    <w:rsid w:val="00662ACC"/>
    <w:rsid w:val="00664925"/>
    <w:rsid w:val="006670AC"/>
    <w:rsid w:val="00667BB8"/>
    <w:rsid w:val="00672307"/>
    <w:rsid w:val="006808C6"/>
    <w:rsid w:val="00682668"/>
    <w:rsid w:val="00692A68"/>
    <w:rsid w:val="00695B88"/>
    <w:rsid w:val="00695D85"/>
    <w:rsid w:val="006A30A2"/>
    <w:rsid w:val="006A4AB9"/>
    <w:rsid w:val="006A6D23"/>
    <w:rsid w:val="006B25DE"/>
    <w:rsid w:val="006C1C3B"/>
    <w:rsid w:val="006C4E43"/>
    <w:rsid w:val="006C643E"/>
    <w:rsid w:val="006D1ABF"/>
    <w:rsid w:val="006D2932"/>
    <w:rsid w:val="006D3671"/>
    <w:rsid w:val="006D4176"/>
    <w:rsid w:val="006D68F0"/>
    <w:rsid w:val="006E0A73"/>
    <w:rsid w:val="006E0FEE"/>
    <w:rsid w:val="006E515C"/>
    <w:rsid w:val="006E6C11"/>
    <w:rsid w:val="006F7267"/>
    <w:rsid w:val="006F7C0C"/>
    <w:rsid w:val="00700755"/>
    <w:rsid w:val="00704F8A"/>
    <w:rsid w:val="0070646B"/>
    <w:rsid w:val="00706F63"/>
    <w:rsid w:val="007130A2"/>
    <w:rsid w:val="00713E16"/>
    <w:rsid w:val="00715463"/>
    <w:rsid w:val="00730655"/>
    <w:rsid w:val="00731D77"/>
    <w:rsid w:val="00732360"/>
    <w:rsid w:val="0073390A"/>
    <w:rsid w:val="00734E64"/>
    <w:rsid w:val="00736B37"/>
    <w:rsid w:val="00740A35"/>
    <w:rsid w:val="007449B9"/>
    <w:rsid w:val="00747C53"/>
    <w:rsid w:val="007520B4"/>
    <w:rsid w:val="007524BC"/>
    <w:rsid w:val="00763FE8"/>
    <w:rsid w:val="007655D5"/>
    <w:rsid w:val="0077557D"/>
    <w:rsid w:val="007763C1"/>
    <w:rsid w:val="00777E82"/>
    <w:rsid w:val="00781359"/>
    <w:rsid w:val="00786916"/>
    <w:rsid w:val="00786921"/>
    <w:rsid w:val="0079318B"/>
    <w:rsid w:val="00794307"/>
    <w:rsid w:val="007A1EAA"/>
    <w:rsid w:val="007A79FD"/>
    <w:rsid w:val="007B0B9D"/>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E7650"/>
    <w:rsid w:val="007F03F8"/>
    <w:rsid w:val="007F0E1E"/>
    <w:rsid w:val="007F29A7"/>
    <w:rsid w:val="008004B4"/>
    <w:rsid w:val="00801BFE"/>
    <w:rsid w:val="00801CF6"/>
    <w:rsid w:val="00803C2F"/>
    <w:rsid w:val="00805BE8"/>
    <w:rsid w:val="00813FED"/>
    <w:rsid w:val="00816078"/>
    <w:rsid w:val="00816E85"/>
    <w:rsid w:val="008177E3"/>
    <w:rsid w:val="00823AA9"/>
    <w:rsid w:val="008255B9"/>
    <w:rsid w:val="00825CD8"/>
    <w:rsid w:val="00827324"/>
    <w:rsid w:val="008319FB"/>
    <w:rsid w:val="008355EA"/>
    <w:rsid w:val="00837458"/>
    <w:rsid w:val="00837AAE"/>
    <w:rsid w:val="008429AD"/>
    <w:rsid w:val="008429DB"/>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2504"/>
    <w:rsid w:val="00893987"/>
    <w:rsid w:val="008963EF"/>
    <w:rsid w:val="0089688E"/>
    <w:rsid w:val="008A05DC"/>
    <w:rsid w:val="008A1C3C"/>
    <w:rsid w:val="008A1FBE"/>
    <w:rsid w:val="008A548B"/>
    <w:rsid w:val="008B3194"/>
    <w:rsid w:val="008B5AE7"/>
    <w:rsid w:val="008C60E9"/>
    <w:rsid w:val="008D1B7C"/>
    <w:rsid w:val="008D6657"/>
    <w:rsid w:val="008E1F60"/>
    <w:rsid w:val="008E2EBC"/>
    <w:rsid w:val="008E307E"/>
    <w:rsid w:val="008F4DD1"/>
    <w:rsid w:val="008F6056"/>
    <w:rsid w:val="008F76C6"/>
    <w:rsid w:val="00902C07"/>
    <w:rsid w:val="00905804"/>
    <w:rsid w:val="009101E2"/>
    <w:rsid w:val="00915D73"/>
    <w:rsid w:val="00916077"/>
    <w:rsid w:val="009170A2"/>
    <w:rsid w:val="0092026C"/>
    <w:rsid w:val="009208A6"/>
    <w:rsid w:val="009214A9"/>
    <w:rsid w:val="00924514"/>
    <w:rsid w:val="00926D7B"/>
    <w:rsid w:val="00927316"/>
    <w:rsid w:val="00927EC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32AC"/>
    <w:rsid w:val="00994351"/>
    <w:rsid w:val="00996A8F"/>
    <w:rsid w:val="009A0020"/>
    <w:rsid w:val="009A043F"/>
    <w:rsid w:val="009A0E34"/>
    <w:rsid w:val="009A1DBF"/>
    <w:rsid w:val="009A68E6"/>
    <w:rsid w:val="009A7598"/>
    <w:rsid w:val="009B1DF8"/>
    <w:rsid w:val="009B3D20"/>
    <w:rsid w:val="009B4BD4"/>
    <w:rsid w:val="009B5418"/>
    <w:rsid w:val="009B61B4"/>
    <w:rsid w:val="009C0727"/>
    <w:rsid w:val="009C3C80"/>
    <w:rsid w:val="009C492F"/>
    <w:rsid w:val="009D2FF2"/>
    <w:rsid w:val="009D3226"/>
    <w:rsid w:val="009D3385"/>
    <w:rsid w:val="009D5FE0"/>
    <w:rsid w:val="009D793C"/>
    <w:rsid w:val="009E16A9"/>
    <w:rsid w:val="009E29B2"/>
    <w:rsid w:val="009E375F"/>
    <w:rsid w:val="009E39D4"/>
    <w:rsid w:val="009E433B"/>
    <w:rsid w:val="009E5401"/>
    <w:rsid w:val="009F6433"/>
    <w:rsid w:val="00A0758F"/>
    <w:rsid w:val="00A13CD8"/>
    <w:rsid w:val="00A1570A"/>
    <w:rsid w:val="00A17866"/>
    <w:rsid w:val="00A211B4"/>
    <w:rsid w:val="00A223CF"/>
    <w:rsid w:val="00A22517"/>
    <w:rsid w:val="00A22ABD"/>
    <w:rsid w:val="00A2682E"/>
    <w:rsid w:val="00A33DDF"/>
    <w:rsid w:val="00A34547"/>
    <w:rsid w:val="00A36A5F"/>
    <w:rsid w:val="00A376B7"/>
    <w:rsid w:val="00A41BF5"/>
    <w:rsid w:val="00A44778"/>
    <w:rsid w:val="00A469E7"/>
    <w:rsid w:val="00A5392F"/>
    <w:rsid w:val="00A604A4"/>
    <w:rsid w:val="00A61B7D"/>
    <w:rsid w:val="00A6605B"/>
    <w:rsid w:val="00A66ADC"/>
    <w:rsid w:val="00A7147D"/>
    <w:rsid w:val="00A730E1"/>
    <w:rsid w:val="00A7447B"/>
    <w:rsid w:val="00A81B15"/>
    <w:rsid w:val="00A837FF"/>
    <w:rsid w:val="00A84052"/>
    <w:rsid w:val="00A84DC8"/>
    <w:rsid w:val="00A85398"/>
    <w:rsid w:val="00A85DBC"/>
    <w:rsid w:val="00A87FEB"/>
    <w:rsid w:val="00A90323"/>
    <w:rsid w:val="00A90FE2"/>
    <w:rsid w:val="00A9330C"/>
    <w:rsid w:val="00A93F9F"/>
    <w:rsid w:val="00A9420E"/>
    <w:rsid w:val="00A95A4E"/>
    <w:rsid w:val="00A97648"/>
    <w:rsid w:val="00AA0C7D"/>
    <w:rsid w:val="00AA1CFD"/>
    <w:rsid w:val="00AA2239"/>
    <w:rsid w:val="00AA33D2"/>
    <w:rsid w:val="00AB0C57"/>
    <w:rsid w:val="00AB1195"/>
    <w:rsid w:val="00AB4182"/>
    <w:rsid w:val="00AC27DB"/>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049"/>
    <w:rsid w:val="00B163F8"/>
    <w:rsid w:val="00B17FD2"/>
    <w:rsid w:val="00B2072F"/>
    <w:rsid w:val="00B2472D"/>
    <w:rsid w:val="00B24CA0"/>
    <w:rsid w:val="00B2549F"/>
    <w:rsid w:val="00B266CC"/>
    <w:rsid w:val="00B4108D"/>
    <w:rsid w:val="00B52444"/>
    <w:rsid w:val="00B525EF"/>
    <w:rsid w:val="00B57265"/>
    <w:rsid w:val="00B633AE"/>
    <w:rsid w:val="00B665D2"/>
    <w:rsid w:val="00B6737C"/>
    <w:rsid w:val="00B702D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7725"/>
    <w:rsid w:val="00BA259A"/>
    <w:rsid w:val="00BA259C"/>
    <w:rsid w:val="00BA29D3"/>
    <w:rsid w:val="00BA307F"/>
    <w:rsid w:val="00BA5280"/>
    <w:rsid w:val="00BB14F1"/>
    <w:rsid w:val="00BB572E"/>
    <w:rsid w:val="00BB6C27"/>
    <w:rsid w:val="00BB74FD"/>
    <w:rsid w:val="00BC11E9"/>
    <w:rsid w:val="00BC5982"/>
    <w:rsid w:val="00BC60BF"/>
    <w:rsid w:val="00BD28BF"/>
    <w:rsid w:val="00BD2D12"/>
    <w:rsid w:val="00BD6404"/>
    <w:rsid w:val="00BE313C"/>
    <w:rsid w:val="00BE33AE"/>
    <w:rsid w:val="00BE465D"/>
    <w:rsid w:val="00BE490E"/>
    <w:rsid w:val="00BE51DB"/>
    <w:rsid w:val="00BF046F"/>
    <w:rsid w:val="00BF7EC1"/>
    <w:rsid w:val="00C01D50"/>
    <w:rsid w:val="00C03084"/>
    <w:rsid w:val="00C056DC"/>
    <w:rsid w:val="00C10F85"/>
    <w:rsid w:val="00C1329B"/>
    <w:rsid w:val="00C14CAA"/>
    <w:rsid w:val="00C1572F"/>
    <w:rsid w:val="00C24C05"/>
    <w:rsid w:val="00C24D2F"/>
    <w:rsid w:val="00C26222"/>
    <w:rsid w:val="00C31283"/>
    <w:rsid w:val="00C32501"/>
    <w:rsid w:val="00C33C48"/>
    <w:rsid w:val="00C340E5"/>
    <w:rsid w:val="00C35AA7"/>
    <w:rsid w:val="00C404C3"/>
    <w:rsid w:val="00C40B14"/>
    <w:rsid w:val="00C43BA1"/>
    <w:rsid w:val="00C43DAB"/>
    <w:rsid w:val="00C47F08"/>
    <w:rsid w:val="00C514A6"/>
    <w:rsid w:val="00C519D3"/>
    <w:rsid w:val="00C5739F"/>
    <w:rsid w:val="00C57CF0"/>
    <w:rsid w:val="00C63557"/>
    <w:rsid w:val="00C649BD"/>
    <w:rsid w:val="00C65891"/>
    <w:rsid w:val="00C65E24"/>
    <w:rsid w:val="00C66AC9"/>
    <w:rsid w:val="00C724D3"/>
    <w:rsid w:val="00C72951"/>
    <w:rsid w:val="00C77DD9"/>
    <w:rsid w:val="00C83BE6"/>
    <w:rsid w:val="00C85354"/>
    <w:rsid w:val="00C86ABA"/>
    <w:rsid w:val="00C91220"/>
    <w:rsid w:val="00C943F3"/>
    <w:rsid w:val="00C956C8"/>
    <w:rsid w:val="00CA08C6"/>
    <w:rsid w:val="00CA0A77"/>
    <w:rsid w:val="00CA2729"/>
    <w:rsid w:val="00CA3057"/>
    <w:rsid w:val="00CA45F8"/>
    <w:rsid w:val="00CB0305"/>
    <w:rsid w:val="00CB33C7"/>
    <w:rsid w:val="00CB5856"/>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408DD"/>
    <w:rsid w:val="00D45D72"/>
    <w:rsid w:val="00D470A0"/>
    <w:rsid w:val="00D47599"/>
    <w:rsid w:val="00D520E4"/>
    <w:rsid w:val="00D529CD"/>
    <w:rsid w:val="00D53A38"/>
    <w:rsid w:val="00D575DD"/>
    <w:rsid w:val="00D57DFA"/>
    <w:rsid w:val="00D61994"/>
    <w:rsid w:val="00D67FCF"/>
    <w:rsid w:val="00D709CE"/>
    <w:rsid w:val="00D71F73"/>
    <w:rsid w:val="00D71FEF"/>
    <w:rsid w:val="00D80786"/>
    <w:rsid w:val="00D811DF"/>
    <w:rsid w:val="00D81CAB"/>
    <w:rsid w:val="00D8576F"/>
    <w:rsid w:val="00D8677F"/>
    <w:rsid w:val="00D9148D"/>
    <w:rsid w:val="00D97F0C"/>
    <w:rsid w:val="00DA3A86"/>
    <w:rsid w:val="00DC2500"/>
    <w:rsid w:val="00DC4F72"/>
    <w:rsid w:val="00DC77DC"/>
    <w:rsid w:val="00DD0453"/>
    <w:rsid w:val="00DD0C2C"/>
    <w:rsid w:val="00DD19DE"/>
    <w:rsid w:val="00DD28BC"/>
    <w:rsid w:val="00DE31F0"/>
    <w:rsid w:val="00DE3D1C"/>
    <w:rsid w:val="00DF7ADE"/>
    <w:rsid w:val="00E01C41"/>
    <w:rsid w:val="00E0227D"/>
    <w:rsid w:val="00E0266D"/>
    <w:rsid w:val="00E04B84"/>
    <w:rsid w:val="00E04DDA"/>
    <w:rsid w:val="00E06466"/>
    <w:rsid w:val="00E06835"/>
    <w:rsid w:val="00E06D32"/>
    <w:rsid w:val="00E06FDA"/>
    <w:rsid w:val="00E0731E"/>
    <w:rsid w:val="00E1115D"/>
    <w:rsid w:val="00E15C38"/>
    <w:rsid w:val="00E160A5"/>
    <w:rsid w:val="00E1713D"/>
    <w:rsid w:val="00E20A43"/>
    <w:rsid w:val="00E21662"/>
    <w:rsid w:val="00E23898"/>
    <w:rsid w:val="00E319F1"/>
    <w:rsid w:val="00E33CD2"/>
    <w:rsid w:val="00E408F2"/>
    <w:rsid w:val="00E40E90"/>
    <w:rsid w:val="00E40F38"/>
    <w:rsid w:val="00E44F13"/>
    <w:rsid w:val="00E45C7E"/>
    <w:rsid w:val="00E531EB"/>
    <w:rsid w:val="00E542EE"/>
    <w:rsid w:val="00E54874"/>
    <w:rsid w:val="00E54B6F"/>
    <w:rsid w:val="00E55ACA"/>
    <w:rsid w:val="00E57B74"/>
    <w:rsid w:val="00E638B0"/>
    <w:rsid w:val="00E65BC6"/>
    <w:rsid w:val="00E661FF"/>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2035"/>
    <w:rsid w:val="00EB61AE"/>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04E3"/>
    <w:rsid w:val="00F618EF"/>
    <w:rsid w:val="00F61C09"/>
    <w:rsid w:val="00F65582"/>
    <w:rsid w:val="00F66E75"/>
    <w:rsid w:val="00F70908"/>
    <w:rsid w:val="00F75701"/>
    <w:rsid w:val="00F77EB0"/>
    <w:rsid w:val="00F80950"/>
    <w:rsid w:val="00F87CDD"/>
    <w:rsid w:val="00F933F0"/>
    <w:rsid w:val="00F937A3"/>
    <w:rsid w:val="00F94514"/>
    <w:rsid w:val="00F94715"/>
    <w:rsid w:val="00F96A3D"/>
    <w:rsid w:val="00F97AC8"/>
    <w:rsid w:val="00FA4718"/>
    <w:rsid w:val="00FA5848"/>
    <w:rsid w:val="00FA6899"/>
    <w:rsid w:val="00FA7F3D"/>
    <w:rsid w:val="00FB0B15"/>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F1FCB"/>
    <w:rsid w:val="00FF22D3"/>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autoRedefine/>
    <w:qFormat/>
    <w:rsid w:val="009A043F"/>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706F63"/>
    <w:pPr>
      <w:numPr>
        <w:ilvl w:val="0"/>
        <w:numId w:val="0"/>
      </w:numPr>
      <w:outlineLvl w:val="3"/>
    </w:pPr>
    <w:rPr>
      <w:rFonts w:ascii="Times New Roman" w:hAnsi="Times New Roman"/>
      <w:b/>
      <w:sz w:val="20"/>
      <w:szCs w:val="20"/>
    </w:rPr>
  </w:style>
  <w:style w:type="paragraph" w:styleId="Heading5">
    <w:name w:val="heading 5"/>
    <w:aliases w:val="h5,Heading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link w:val="Heading2"/>
    <w:rsid w:val="009A043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706F63"/>
    <w:rPr>
      <w:b/>
      <w:lang w:eastAsia="zh-CN"/>
    </w:rPr>
  </w:style>
  <w:style w:type="character" w:customStyle="1" w:styleId="Heading5Char">
    <w:name w:val="Heading 5 Char"/>
    <w:aliases w:val="h5 Char,Heading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5"/>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2"/>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36"/>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Normal"/>
    <w:qFormat/>
    <w:rsid w:val="000C54E5"/>
    <w:pPr>
      <w:numPr>
        <w:numId w:val="42"/>
      </w:numPr>
      <w:tabs>
        <w:tab w:val="clear" w:pos="737"/>
      </w:tabs>
      <w:overflowPunct w:val="0"/>
      <w:autoSpaceDE w:val="0"/>
      <w:autoSpaceDN w:val="0"/>
      <w:adjustRightInd w:val="0"/>
      <w:ind w:left="720" w:hanging="3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2.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059CB-BC50-42F3-9E07-012368458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1162</Words>
  <Characters>6628</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6</cp:revision>
  <cp:lastPrinted>2019-04-25T01:09:00Z</cp:lastPrinted>
  <dcterms:created xsi:type="dcterms:W3CDTF">2023-05-15T06:29:00Z</dcterms:created>
  <dcterms:modified xsi:type="dcterms:W3CDTF">2023-05-15T10:39:00Z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